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References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Bettinger, E. P., &amp; Baker, R. B. (2014). The effects of student coaching: An evaluation of a randomized experiment in student advising. </w:t>
      </w:r>
      <w:r>
        <w:rPr>
          <w:i/>
        </w:rPr>
        <w:t>Educational Evaluation and Policy Analysis, 36</w:t>
      </w:r>
      <w:r>
        <w:rPr>
          <w:i w:val="0"/>
        </w:rPr>
        <w:t xml:space="preserve">(1), 3–19. </w:t>
      </w:r>
      <w:hyperlink r:id="rId9">
        <w:r>
          <w:rPr>
            <w:rFonts w:ascii="Times New Roman" w:hAnsi="Times New Roman" w:cs="Times New Roman"/>
            <w:color w:val="0563C1"/>
            <w:u w:val="single"/>
            <w:sz w:val="24"/>
          </w:rPr>
          <w:t>https://doi.org/10.3102/0162373713500523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Betz, N. E., Klein, K. L., &amp; Taylor, K. M. (1996). Evaluation of a short form of the Career Decision-Making Self-Efficacy Scale. </w:t>
      </w:r>
      <w:r>
        <w:rPr>
          <w:i/>
        </w:rPr>
        <w:t>Journal of Career Assessment, 4</w:t>
      </w:r>
      <w:r>
        <w:rPr>
          <w:i w:val="0"/>
        </w:rPr>
        <w:t xml:space="preserve">(1), 47–57. </w:t>
      </w:r>
      <w:hyperlink r:id="rId10">
        <w:r>
          <w:rPr>
            <w:rFonts w:ascii="Times New Roman" w:hAnsi="Times New Roman" w:cs="Times New Roman"/>
            <w:color w:val="0563C1"/>
            <w:u w:val="single"/>
            <w:sz w:val="24"/>
          </w:rPr>
          <w:t>https://doi.org/10.1177/106907279600400103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Braven. (2026). </w:t>
      </w:r>
      <w:r>
        <w:rPr>
          <w:i/>
        </w:rPr>
        <w:t>2026 jobs report</w:t>
      </w:r>
      <w:r>
        <w:rPr>
          <w:i w:val="0"/>
        </w:rPr>
        <w:t xml:space="preserve">. </w:t>
      </w:r>
      <w:hyperlink r:id="rId11">
        <w:r>
          <w:rPr>
            <w:rFonts w:ascii="Times New Roman" w:hAnsi="Times New Roman" w:cs="Times New Roman"/>
            <w:color w:val="0563C1"/>
            <w:u w:val="single"/>
            <w:sz w:val="24"/>
          </w:rPr>
          <w:t>https://braven.org/wp-content/uploads/2026/06/2026-National-JobsReport.pdf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Bryk, A. S., Gomez, L. M., Grunow, A., &amp; LeMahieu, P. G. (2015). </w:t>
      </w:r>
      <w:r>
        <w:rPr>
          <w:i/>
        </w:rPr>
        <w:t>Learning to improve: How America’s schools can get better at getting better</w:t>
      </w:r>
      <w:r>
        <w:rPr>
          <w:i w:val="0"/>
        </w:rPr>
        <w:t>. Harvard Education Press.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Cataldi, E. F., Bennett, C. T., &amp; Chen, X. (2018). </w:t>
      </w:r>
      <w:r>
        <w:rPr>
          <w:i/>
        </w:rPr>
        <w:t>First-generation students: College access, persistence, and postbachelor’s outcomes</w:t>
      </w:r>
      <w:r>
        <w:rPr>
          <w:i w:val="0"/>
        </w:rPr>
        <w:t xml:space="preserve"> (NCES 2018-421). U.S. Department of Education, National Center for Education Statistics. </w:t>
      </w:r>
      <w:hyperlink r:id="rId12">
        <w:r>
          <w:rPr>
            <w:rFonts w:ascii="Times New Roman" w:hAnsi="Times New Roman" w:cs="Times New Roman"/>
            <w:color w:val="0563C1"/>
            <w:u w:val="single"/>
            <w:sz w:val="24"/>
          </w:rPr>
          <w:t>https://nces.ed.gov/pubs2018/2018421.pdf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Daugherty, L., Johnston, W. R., &amp; Berglund, T. (2020). </w:t>
      </w:r>
      <w:r>
        <w:rPr>
          <w:i/>
        </w:rPr>
        <w:t>Connecting college students to alternative sources of support: The Single Stop Community College Initiative and postsecondary outcomes</w:t>
      </w:r>
      <w:r>
        <w:rPr>
          <w:i w:val="0"/>
        </w:rPr>
        <w:t xml:space="preserve">. RAND Corporation. </w:t>
      </w:r>
      <w:hyperlink r:id="rId13">
        <w:r>
          <w:rPr>
            <w:rFonts w:ascii="Times New Roman" w:hAnsi="Times New Roman" w:cs="Times New Roman"/>
            <w:color w:val="0563C1"/>
            <w:u w:val="single"/>
            <w:sz w:val="24"/>
          </w:rPr>
          <w:t>https://doi.org/10.7249/RR1740-1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Engeström, Y. (2001). Expansive learning at work: Toward an activity theoretical reconceptualization. </w:t>
      </w:r>
      <w:r>
        <w:rPr>
          <w:i/>
        </w:rPr>
        <w:t>Journal of Education and Work, 14</w:t>
      </w:r>
      <w:r>
        <w:rPr>
          <w:i w:val="0"/>
        </w:rPr>
        <w:t xml:space="preserve">(1), 133–156. </w:t>
      </w:r>
      <w:hyperlink r:id="rId14">
        <w:r>
          <w:rPr>
            <w:rFonts w:ascii="Times New Roman" w:hAnsi="Times New Roman" w:cs="Times New Roman"/>
            <w:color w:val="0563C1"/>
            <w:u w:val="single"/>
            <w:sz w:val="24"/>
          </w:rPr>
          <w:t>https://doi.org/10.1080/13639080020028747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Evans, W. N., Kearney, M. S., Perry, B., &amp; Sullivan, J. X. (2020). Increasing community college completion rates among low-income students: Evidence from a randomized controlled trial evaluation of a case-management intervention. </w:t>
      </w:r>
      <w:r>
        <w:rPr>
          <w:i/>
        </w:rPr>
        <w:t>Journal of Policy Analysis and Management, 39</w:t>
      </w:r>
      <w:r>
        <w:rPr>
          <w:i w:val="0"/>
        </w:rPr>
        <w:t xml:space="preserve">(4), 930–965. </w:t>
      </w:r>
      <w:hyperlink r:id="rId15">
        <w:r>
          <w:rPr>
            <w:rFonts w:ascii="Times New Roman" w:hAnsi="Times New Roman" w:cs="Times New Roman"/>
            <w:color w:val="0563C1"/>
            <w:u w:val="single"/>
            <w:sz w:val="24"/>
          </w:rPr>
          <w:t>https://doi.org/10.1002/pam.22256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Hallberg, K., Hofmeister, K., Bertrand, M., &amp; Morgan, B. (2022). </w:t>
      </w:r>
      <w:r>
        <w:rPr>
          <w:i/>
        </w:rPr>
        <w:t>Supporting community college student success: Evidence from a randomized controlled trial</w:t>
      </w:r>
      <w:r>
        <w:rPr>
          <w:i w:val="0"/>
        </w:rPr>
        <w:t xml:space="preserve"> [Working paper]. University of Chicago Inclusive Economy Lab. </w:t>
      </w:r>
      <w:hyperlink r:id="rId16">
        <w:r>
          <w:rPr>
            <w:rFonts w:ascii="Times New Roman" w:hAnsi="Times New Roman" w:cs="Times New Roman"/>
            <w:color w:val="0563C1"/>
            <w:u w:val="single"/>
            <w:sz w:val="24"/>
          </w:rPr>
          <w:t>https://urbanlabs.uchicago.edu/attachments/89ba899bbb8d94545822ecffb39ae94f2c736345/store/466e7cde4a3f66a7c388d8f39c0ca80efc914f34b85caacb63509f4a4de2/Final_OMD+Working+paper_updated+June+2022.pdf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Hanson, A., Salerno, C., Sigelman, M., de Zeeuw, M., &amp; Moret, S. (2024). </w:t>
      </w:r>
      <w:r>
        <w:rPr>
          <w:i/>
        </w:rPr>
        <w:t>Talent disrupted: College graduates, underemployment, and the way forward</w:t>
      </w:r>
      <w:r>
        <w:rPr>
          <w:i w:val="0"/>
        </w:rPr>
        <w:t xml:space="preserve">. Strada Institute for the Future of Work and Burning Glass Institute. </w:t>
      </w:r>
      <w:hyperlink r:id="rId17">
        <w:r>
          <w:rPr>
            <w:rFonts w:ascii="Times New Roman" w:hAnsi="Times New Roman" w:cs="Times New Roman"/>
            <w:color w:val="0563C1"/>
            <w:u w:val="single"/>
            <w:sz w:val="24"/>
          </w:rPr>
          <w:t>https://www.burningglassinstitute.org/research/talent-disrupted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Hoffman, M., Richmond, J., Morrow, J., &amp; Salomone, K. (2002). Investigating “sense of belonging” in first-year college students. </w:t>
      </w:r>
      <w:r>
        <w:rPr>
          <w:i/>
        </w:rPr>
        <w:t>Journal of College Student Retention: Research, Theory &amp; Practice, 4</w:t>
      </w:r>
      <w:r>
        <w:rPr>
          <w:i w:val="0"/>
        </w:rPr>
        <w:t xml:space="preserve">(3), 227–256. </w:t>
      </w:r>
      <w:hyperlink r:id="rId18">
        <w:r>
          <w:rPr>
            <w:rFonts w:ascii="Times New Roman" w:hAnsi="Times New Roman" w:cs="Times New Roman"/>
            <w:color w:val="0563C1"/>
            <w:u w:val="single"/>
            <w:sz w:val="24"/>
          </w:rPr>
          <w:t>https://doi.org/10.2190/DRYC-CXQ9-JQ8V-HT4V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Hora, M. T., Chen, Z., Parrott, E., &amp; Her, P. (2019). </w:t>
      </w:r>
      <w:r>
        <w:rPr>
          <w:i/>
        </w:rPr>
        <w:t>Problematizing college internships: Exploring issues with access, program design and developmental outcomes in three U.S. colleges</w:t>
      </w:r>
      <w:r>
        <w:rPr>
          <w:i w:val="0"/>
        </w:rPr>
        <w:t xml:space="preserve"> (WCER Working Paper No. 2019-1). Wisconsin Center for Education Research, University of Wisconsin–Madison. </w:t>
      </w:r>
      <w:hyperlink r:id="rId19">
        <w:r>
          <w:rPr>
            <w:rFonts w:ascii="Times New Roman" w:hAnsi="Times New Roman" w:cs="Times New Roman"/>
            <w:color w:val="0563C1"/>
            <w:u w:val="single"/>
            <w:sz w:val="24"/>
          </w:rPr>
          <w:t>https://ccwt.wisc.edu/publication/problematizing-college-internships-exploring-issues-with-access-program-design-and-developmental-outcomes-in-three-u-s-colleges-wcer-working-paper-no-2019-1/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Illinois Board of Higher Education. (2021). </w:t>
      </w:r>
      <w:r>
        <w:rPr>
          <w:i/>
        </w:rPr>
        <w:t>A thriving Illinois: Higher education paths to equity, sustainability, and growth</w:t>
      </w:r>
      <w:r>
        <w:rPr>
          <w:i w:val="0"/>
        </w:rPr>
        <w:t xml:space="preserve">. </w:t>
      </w:r>
      <w:hyperlink r:id="rId20">
        <w:r>
          <w:rPr>
            <w:rFonts w:ascii="Times New Roman" w:hAnsi="Times New Roman" w:cs="Times New Roman"/>
            <w:color w:val="0563C1"/>
            <w:u w:val="single"/>
            <w:sz w:val="24"/>
          </w:rPr>
          <w:t>https://ibhestrategicplan.ibhe.org/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Illinois Institute of Technology. (2023, May 25). </w:t>
      </w:r>
      <w:r>
        <w:rPr>
          <w:i/>
        </w:rPr>
        <w:t>Illinois Tech recognized as a national leader in lower-income student access and success</w:t>
      </w:r>
      <w:r>
        <w:rPr>
          <w:i w:val="0"/>
        </w:rPr>
        <w:t xml:space="preserve">. </w:t>
      </w:r>
      <w:hyperlink r:id="rId21">
        <w:r>
          <w:rPr>
            <w:rFonts w:ascii="Times New Roman" w:hAnsi="Times New Roman" w:cs="Times New Roman"/>
            <w:color w:val="0563C1"/>
            <w:u w:val="single"/>
            <w:sz w:val="24"/>
          </w:rPr>
          <w:t>https://www.iit.edu/news/illinois-tech-recognized-national-leader-lower-income-student-access-and-success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Illinois Institute of Technology. (2024). </w:t>
      </w:r>
      <w:r>
        <w:rPr>
          <w:i/>
        </w:rPr>
        <w:t>Common data set 2023–2024</w:t>
      </w:r>
      <w:r>
        <w:rPr>
          <w:i w:val="0"/>
        </w:rPr>
        <w:t xml:space="preserve">. </w:t>
      </w:r>
      <w:hyperlink r:id="rId22">
        <w:r>
          <w:rPr>
            <w:rFonts w:ascii="Times New Roman" w:hAnsi="Times New Roman" w:cs="Times New Roman"/>
            <w:color w:val="0563C1"/>
            <w:u w:val="single"/>
            <w:sz w:val="24"/>
          </w:rPr>
          <w:t>https://iit.edu/sites/default/files/2024-06/Full-2023-2024-Common-Data-Set.pdf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The Institute for College Access &amp; Success. (2021). </w:t>
      </w:r>
      <w:r>
        <w:rPr>
          <w:i/>
        </w:rPr>
        <w:t>Comprehensive approaches to student success programs (CASS): Key lessons for state policymakers</w:t>
      </w:r>
      <w:r>
        <w:rPr>
          <w:i w:val="0"/>
        </w:rPr>
        <w:t xml:space="preserve"> [Fact sheet]. </w:t>
      </w:r>
      <w:hyperlink r:id="rId23">
        <w:r>
          <w:rPr>
            <w:rFonts w:ascii="Times New Roman" w:hAnsi="Times New Roman" w:cs="Times New Roman"/>
            <w:color w:val="0563C1"/>
            <w:u w:val="single"/>
            <w:sz w:val="24"/>
          </w:rPr>
          <w:t>https://ticas.org/our-work/college-completion-2/comprehensive-approaches-to-student-success-programs-nationwide-by-state-and-institution/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Karp, M. M. (2016). A holistic conception of nonacademic support: How four mechanisms combine to encourage positive student outcomes in the community college. </w:t>
      </w:r>
      <w:r>
        <w:rPr>
          <w:i/>
        </w:rPr>
        <w:t>New Directions for Community Colleges, 2016</w:t>
      </w:r>
      <w:r>
        <w:rPr>
          <w:i w:val="0"/>
        </w:rPr>
        <w:t xml:space="preserve">(175), 33–44. </w:t>
      </w:r>
      <w:hyperlink r:id="rId24">
        <w:r>
          <w:rPr>
            <w:rFonts w:ascii="Times New Roman" w:hAnsi="Times New Roman" w:cs="Times New Roman"/>
            <w:color w:val="0563C1"/>
            <w:u w:val="single"/>
            <w:sz w:val="24"/>
          </w:rPr>
          <w:t>https://doi.org/10.1002/cc.20210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Kuh, G. D. (2008). </w:t>
      </w:r>
      <w:r>
        <w:rPr>
          <w:i/>
        </w:rPr>
        <w:t>High-impact educational practices: What they are, who has access to them, and why they matter</w:t>
      </w:r>
      <w:r>
        <w:rPr>
          <w:i w:val="0"/>
        </w:rPr>
        <w:t>. Association of American Colleges and Universities.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Logan, F. (2026). </w:t>
      </w:r>
      <w:r>
        <w:rPr>
          <w:i/>
        </w:rPr>
        <w:t>How do technology professionals engage in distributed work? An activity systems analysis in corporate and educational organizations</w:t>
      </w:r>
      <w:r>
        <w:rPr>
          <w:i w:val="0"/>
        </w:rPr>
        <w:t xml:space="preserve"> [Doctoral thesis, Lancaster University]. </w:t>
      </w:r>
      <w:hyperlink r:id="rId25">
        <w:r>
          <w:rPr>
            <w:rFonts w:ascii="Times New Roman" w:hAnsi="Times New Roman" w:cs="Times New Roman"/>
            <w:color w:val="0563C1"/>
            <w:u w:val="single"/>
            <w:sz w:val="24"/>
          </w:rPr>
          <w:t>https://research.lancaster-university.uk/en/publications/how-do-technology-professionals-engage-in-distributed-work-an-act/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Miller, C., &amp; Weiss, M. J. (2022). Increasing community college graduation rates: A synthesis of findings on the ASAP model from six colleges across two states. </w:t>
      </w:r>
      <w:r>
        <w:rPr>
          <w:i/>
        </w:rPr>
        <w:t>Educational Evaluation and Policy Analysis, 44</w:t>
      </w:r>
      <w:r>
        <w:rPr>
          <w:i w:val="0"/>
        </w:rPr>
        <w:t xml:space="preserve">(2), 210–233. </w:t>
      </w:r>
      <w:hyperlink r:id="rId26">
        <w:r>
          <w:rPr>
            <w:rFonts w:ascii="Times New Roman" w:hAnsi="Times New Roman" w:cs="Times New Roman"/>
            <w:color w:val="0563C1"/>
            <w:u w:val="single"/>
            <w:sz w:val="24"/>
          </w:rPr>
          <w:t>https://doi.org/10.3102/01623737211036726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National Association of Colleges and Employers. (n.d.). </w:t>
      </w:r>
      <w:r>
        <w:rPr>
          <w:i/>
        </w:rPr>
        <w:t>Career readiness defined</w:t>
      </w:r>
      <w:r>
        <w:rPr>
          <w:i w:val="0"/>
        </w:rPr>
        <w:t xml:space="preserve">. </w:t>
      </w:r>
      <w:hyperlink r:id="rId27">
        <w:r>
          <w:rPr>
            <w:rFonts w:ascii="Times New Roman" w:hAnsi="Times New Roman" w:cs="Times New Roman"/>
            <w:color w:val="0563C1"/>
            <w:u w:val="single"/>
            <w:sz w:val="24"/>
          </w:rPr>
          <w:t>https://www.naceweb.org/career-readiness/competencies/career-readiness-defined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Perez, R. J., &amp; Kezar, A. (2025). Ecological validation: A complementary approach to supporting minoritized student success. </w:t>
      </w:r>
      <w:r>
        <w:rPr>
          <w:i/>
        </w:rPr>
        <w:t>Journal of Postsecondary Student Success, 4</w:t>
      </w:r>
      <w:r>
        <w:rPr>
          <w:i w:val="0"/>
        </w:rPr>
        <w:t xml:space="preserve">(4), 1–15. </w:t>
      </w:r>
      <w:hyperlink r:id="rId28">
        <w:r>
          <w:rPr>
            <w:rFonts w:ascii="Times New Roman" w:hAnsi="Times New Roman" w:cs="Times New Roman"/>
            <w:color w:val="0563C1"/>
            <w:u w:val="single"/>
            <w:sz w:val="24"/>
          </w:rPr>
          <w:t>https://doi.org/10.33009/fsop_jpss135324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Rendón, L. I. (1994). Validating culturally diverse students: Toward a new model of learning and student development. </w:t>
      </w:r>
      <w:r>
        <w:rPr>
          <w:i/>
        </w:rPr>
        <w:t>Innovative Higher Education, 19</w:t>
      </w:r>
      <w:r>
        <w:rPr>
          <w:i w:val="0"/>
        </w:rPr>
        <w:t xml:space="preserve">(1), 33–51. </w:t>
      </w:r>
      <w:hyperlink r:id="rId29">
        <w:r>
          <w:rPr>
            <w:rFonts w:ascii="Times New Roman" w:hAnsi="Times New Roman" w:cs="Times New Roman"/>
            <w:color w:val="0563C1"/>
            <w:u w:val="single"/>
            <w:sz w:val="24"/>
          </w:rPr>
          <w:t>https://doi.org/10.1007/BF01191156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Strayhorn, T. L. (2019). </w:t>
      </w:r>
      <w:r>
        <w:rPr>
          <w:i/>
        </w:rPr>
        <w:t>College students’ sense of belonging: A key to educational success for all students</w:t>
      </w:r>
      <w:r>
        <w:rPr>
          <w:i w:val="0"/>
        </w:rPr>
        <w:t xml:space="preserve"> (2nd ed.). Routledge.</w:t>
      </w:r>
    </w:p>
    <w:p>
      <w:pPr>
        <w:spacing w:line="480" w:lineRule="auto" w:after="0"/>
        <w:ind w:left="720" w:hanging="720"/>
      </w:pPr>
      <w:r>
        <w:rPr>
          <w:i w:val="0"/>
        </w:rPr>
        <w:t xml:space="preserve">Tinto, V. (2012). </w:t>
      </w:r>
      <w:r>
        <w:rPr>
          <w:i/>
        </w:rPr>
        <w:t>Completing college: Rethinking institutional action</w:t>
      </w:r>
      <w:r>
        <w:rPr>
          <w:i w:val="0"/>
        </w:rPr>
        <w:t xml:space="preserve">. University of Chicago Press. </w:t>
      </w:r>
      <w:hyperlink r:id="rId30">
        <w:r>
          <w:rPr>
            <w:rFonts w:ascii="Times New Roman" w:hAnsi="Times New Roman" w:cs="Times New Roman"/>
            <w:color w:val="0563C1"/>
            <w:u w:val="single"/>
            <w:sz w:val="24"/>
          </w:rPr>
          <w:t>https://doi.org/10.7208/chicago/9780226804545.001.0001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U.S. Government Accountability Office. (2018). </w:t>
      </w:r>
      <w:r>
        <w:rPr>
          <w:i/>
        </w:rPr>
        <w:t>Food insecurity: Better information could help eligible college students access federal food assistance benefits</w:t>
      </w:r>
      <w:r>
        <w:rPr>
          <w:i w:val="0"/>
        </w:rPr>
        <w:t xml:space="preserve"> (GAO-19-95). </w:t>
      </w:r>
      <w:hyperlink r:id="rId31">
        <w:r>
          <w:rPr>
            <w:rFonts w:ascii="Times New Roman" w:hAnsi="Times New Roman" w:cs="Times New Roman"/>
            <w:color w:val="0563C1"/>
            <w:u w:val="single"/>
            <w:sz w:val="24"/>
          </w:rPr>
          <w:t>https://www.gao.gov/products/gao-19-95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Virkkunen, J., &amp; Newnham, D. S. (2013). </w:t>
      </w:r>
      <w:r>
        <w:rPr>
          <w:i/>
        </w:rPr>
        <w:t>The Change Laboratory: A tool for collaborative development of work and education</w:t>
      </w:r>
      <w:r>
        <w:rPr>
          <w:i w:val="0"/>
        </w:rPr>
        <w:t xml:space="preserve">. Sense Publishers. </w:t>
      </w:r>
      <w:hyperlink r:id="rId32">
        <w:r>
          <w:rPr>
            <w:rFonts w:ascii="Times New Roman" w:hAnsi="Times New Roman" w:cs="Times New Roman"/>
            <w:color w:val="0563C1"/>
            <w:u w:val="single"/>
            <w:sz w:val="24"/>
          </w:rPr>
          <w:t>https://link.springer.com/book/10.1007/978-94-6209-326-3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Weiss, M. J., Ratledge, A., Sommo, C., &amp; Gupta, H. (2019). Supporting community college students from start to degree completion: Long-term evidence from a randomized trial of CUNY’s ASAP. </w:t>
      </w:r>
      <w:r>
        <w:rPr>
          <w:i/>
        </w:rPr>
        <w:t>American Economic Journal: Applied Economics, 11</w:t>
      </w:r>
      <w:r>
        <w:rPr>
          <w:i w:val="0"/>
        </w:rPr>
        <w:t xml:space="preserve">(3), 253–297. </w:t>
      </w:r>
      <w:hyperlink r:id="rId33">
        <w:r>
          <w:rPr>
            <w:rFonts w:ascii="Times New Roman" w:hAnsi="Times New Roman" w:cs="Times New Roman"/>
            <w:color w:val="0563C1"/>
            <w:u w:val="single"/>
            <w:sz w:val="24"/>
          </w:rPr>
          <w:t>https://doi.org/10.1257/app.20170430</w:t>
        </w:r>
      </w:hyperlink>
    </w:p>
    <w:p>
      <w:pPr>
        <w:spacing w:line="480" w:lineRule="auto" w:after="0"/>
        <w:ind w:left="720" w:hanging="720"/>
      </w:pPr>
      <w:r>
        <w:rPr>
          <w:i w:val="0"/>
        </w:rPr>
        <w:t xml:space="preserve">Yosso, T. J. (2005). Whose culture has capital? A critical race theory discussion of community cultural wealth. </w:t>
      </w:r>
      <w:r>
        <w:rPr>
          <w:i/>
        </w:rPr>
        <w:t>Race Ethnicity and Education, 8</w:t>
      </w:r>
      <w:r>
        <w:rPr>
          <w:i w:val="0"/>
        </w:rPr>
        <w:t xml:space="preserve">(1), 69–91. </w:t>
      </w:r>
      <w:hyperlink r:id="rId34">
        <w:r>
          <w:rPr>
            <w:rFonts w:ascii="Times New Roman" w:hAnsi="Times New Roman" w:cs="Times New Roman"/>
            <w:color w:val="0563C1"/>
            <w:u w:val="single"/>
            <w:sz w:val="24"/>
          </w:rPr>
          <w:t>https://doi.org/10.1080/1361332052000341006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3102/0162373713500523" TargetMode="External"/><Relationship Id="rId10" Type="http://schemas.openxmlformats.org/officeDocument/2006/relationships/hyperlink" Target="https://doi.org/10.1177/106907279600400103" TargetMode="External"/><Relationship Id="rId11" Type="http://schemas.openxmlformats.org/officeDocument/2006/relationships/hyperlink" Target="https://braven.org/wp-content/uploads/2026/06/2026-National-JobsReport.pdf" TargetMode="External"/><Relationship Id="rId12" Type="http://schemas.openxmlformats.org/officeDocument/2006/relationships/hyperlink" Target="https://nces.ed.gov/pubs2018/2018421.pdf" TargetMode="External"/><Relationship Id="rId13" Type="http://schemas.openxmlformats.org/officeDocument/2006/relationships/hyperlink" Target="https://doi.org/10.7249/RR1740-1" TargetMode="External"/><Relationship Id="rId14" Type="http://schemas.openxmlformats.org/officeDocument/2006/relationships/hyperlink" Target="https://doi.org/10.1080/13639080020028747" TargetMode="External"/><Relationship Id="rId15" Type="http://schemas.openxmlformats.org/officeDocument/2006/relationships/hyperlink" Target="https://doi.org/10.1002/pam.22256" TargetMode="External"/><Relationship Id="rId16" Type="http://schemas.openxmlformats.org/officeDocument/2006/relationships/hyperlink" Target="https://urbanlabs.uchicago.edu/attachments/89ba899bbb8d94545822ecffb39ae94f2c736345/store/466e7cde4a3f66a7c388d8f39c0ca80efc914f34b85caacb63509f4a4de2/Final_OMD+Working+paper_updated+June+2022.pdf" TargetMode="External"/><Relationship Id="rId17" Type="http://schemas.openxmlformats.org/officeDocument/2006/relationships/hyperlink" Target="https://www.burningglassinstitute.org/research/talent-disrupted" TargetMode="External"/><Relationship Id="rId18" Type="http://schemas.openxmlformats.org/officeDocument/2006/relationships/hyperlink" Target="https://doi.org/10.2190/DRYC-CXQ9-JQ8V-HT4V" TargetMode="External"/><Relationship Id="rId19" Type="http://schemas.openxmlformats.org/officeDocument/2006/relationships/hyperlink" Target="https://ccwt.wisc.edu/publication/problematizing-college-internships-exploring-issues-with-access-program-design-and-developmental-outcomes-in-three-u-s-colleges-wcer-working-paper-no-2019-1/" TargetMode="External"/><Relationship Id="rId20" Type="http://schemas.openxmlformats.org/officeDocument/2006/relationships/hyperlink" Target="https://ibhestrategicplan.ibhe.org/" TargetMode="External"/><Relationship Id="rId21" Type="http://schemas.openxmlformats.org/officeDocument/2006/relationships/hyperlink" Target="https://www.iit.edu/news/illinois-tech-recognized-national-leader-lower-income-student-access-and-success" TargetMode="External"/><Relationship Id="rId22" Type="http://schemas.openxmlformats.org/officeDocument/2006/relationships/hyperlink" Target="https://iit.edu/sites/default/files/2024-06/Full-2023-2024-Common-Data-Set.pdf" TargetMode="External"/><Relationship Id="rId23" Type="http://schemas.openxmlformats.org/officeDocument/2006/relationships/hyperlink" Target="https://ticas.org/our-work/college-completion-2/comprehensive-approaches-to-student-success-programs-nationwide-by-state-and-institution/" TargetMode="External"/><Relationship Id="rId24" Type="http://schemas.openxmlformats.org/officeDocument/2006/relationships/hyperlink" Target="https://doi.org/10.1002/cc.20210" TargetMode="External"/><Relationship Id="rId25" Type="http://schemas.openxmlformats.org/officeDocument/2006/relationships/hyperlink" Target="https://research.lancaster-university.uk/en/publications/how-do-technology-professionals-engage-in-distributed-work-an-act/" TargetMode="External"/><Relationship Id="rId26" Type="http://schemas.openxmlformats.org/officeDocument/2006/relationships/hyperlink" Target="https://doi.org/10.3102/01623737211036726" TargetMode="External"/><Relationship Id="rId27" Type="http://schemas.openxmlformats.org/officeDocument/2006/relationships/hyperlink" Target="https://www.naceweb.org/career-readiness/competencies/career-readiness-defined" TargetMode="External"/><Relationship Id="rId28" Type="http://schemas.openxmlformats.org/officeDocument/2006/relationships/hyperlink" Target="https://doi.org/10.33009/fsop_jpss135324" TargetMode="External"/><Relationship Id="rId29" Type="http://schemas.openxmlformats.org/officeDocument/2006/relationships/hyperlink" Target="https://doi.org/10.1007/BF01191156" TargetMode="External"/><Relationship Id="rId30" Type="http://schemas.openxmlformats.org/officeDocument/2006/relationships/hyperlink" Target="https://doi.org/10.7208/chicago/9780226804545.001.0001" TargetMode="External"/><Relationship Id="rId31" Type="http://schemas.openxmlformats.org/officeDocument/2006/relationships/hyperlink" Target="https://www.gao.gov/products/gao-19-95" TargetMode="External"/><Relationship Id="rId32" Type="http://schemas.openxmlformats.org/officeDocument/2006/relationships/hyperlink" Target="https://link.springer.com/book/10.1007/978-94-6209-326-3" TargetMode="External"/><Relationship Id="rId33" Type="http://schemas.openxmlformats.org/officeDocument/2006/relationships/hyperlink" Target="https://doi.org/10.1257/app.20170430" TargetMode="External"/><Relationship Id="rId34" Type="http://schemas.openxmlformats.org/officeDocument/2006/relationships/hyperlink" Target="https://doi.org/10.1080/13613320520003410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2026-10-26T00:00:00Z</dcterms:created>
  <dcterms:modified xsi:type="dcterms:W3CDTF">2026-10-26T00:00:00Z</dcterms:modified>
  <cp:category/>
</cp:coreProperties>
</file>