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References</w:t>
      </w:r>
    </w:p>
    <w:p>
      <w:pPr>
        <w:spacing w:line="480" w:lineRule="auto" w:after="0"/>
        <w:ind w:left="720" w:hanging="720"/>
      </w:pPr>
      <w:r>
        <w:rPr>
          <w:i w:val="0"/>
        </w:rPr>
        <w:t xml:space="preserve">Betz, N. E., Klein, K. L., &amp; Taylor, K. M. (1996). Evaluation of a short form of the Career Decision-Making Self-Efficacy Scale. </w:t>
      </w:r>
      <w:r>
        <w:rPr>
          <w:i/>
        </w:rPr>
        <w:t>Journal of Career Assessment, 4</w:t>
      </w:r>
      <w:r>
        <w:rPr>
          <w:i w:val="0"/>
        </w:rPr>
        <w:t xml:space="preserve">(1), 47–57. </w:t>
      </w:r>
      <w:hyperlink r:id="rId9">
        <w:r>
          <w:rPr>
            <w:rFonts w:ascii="Times New Roman" w:hAnsi="Times New Roman" w:cs="Times New Roman"/>
            <w:color w:val="0563C1"/>
            <w:u w:val="single"/>
            <w:sz w:val="24"/>
          </w:rPr>
          <w:t>https://doi.org/10.1177/106907279600400103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Bettinger, E. P., &amp; Baker, R. B. (2014). The effects of student coaching: An evaluation of a randomized experiment in student advising. </w:t>
      </w:r>
      <w:r>
        <w:rPr>
          <w:i/>
        </w:rPr>
        <w:t>Educational Evaluation and Policy Analysis, 36</w:t>
      </w:r>
      <w:r>
        <w:rPr>
          <w:i w:val="0"/>
        </w:rPr>
        <w:t xml:space="preserve">(1), 3–19. </w:t>
      </w:r>
      <w:hyperlink r:id="rId10">
        <w:r>
          <w:rPr>
            <w:rFonts w:ascii="Times New Roman" w:hAnsi="Times New Roman" w:cs="Times New Roman"/>
            <w:color w:val="0563C1"/>
            <w:u w:val="single"/>
            <w:sz w:val="24"/>
          </w:rPr>
          <w:t>https://doi.org/10.3102/0162373713500523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Braven. (2026). </w:t>
      </w:r>
      <w:r>
        <w:rPr>
          <w:i/>
        </w:rPr>
        <w:t>2026 jobs report</w:t>
      </w:r>
      <w:r>
        <w:rPr>
          <w:i w:val="0"/>
        </w:rPr>
        <w:t xml:space="preserve">. </w:t>
      </w:r>
      <w:hyperlink r:id="rId11">
        <w:r>
          <w:rPr>
            <w:rFonts w:ascii="Times New Roman" w:hAnsi="Times New Roman" w:cs="Times New Roman"/>
            <w:color w:val="0563C1"/>
            <w:u w:val="single"/>
            <w:sz w:val="24"/>
          </w:rPr>
          <w:t>https://braven.org/wp-content/uploads/2026/06/2026-National-JobsReport.pdf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Bryk, A. S., Gomez, L. M., Grunow, A., &amp; LeMahieu, P. G. (2015). </w:t>
      </w:r>
      <w:r>
        <w:rPr>
          <w:i/>
        </w:rPr>
        <w:t>Learning to improve: How America’s schools can get better at getting better</w:t>
      </w:r>
      <w:r>
        <w:rPr>
          <w:i w:val="0"/>
        </w:rPr>
        <w:t>. Harvard Education Press.</w:t>
      </w:r>
    </w:p>
    <w:p>
      <w:pPr>
        <w:spacing w:line="480" w:lineRule="auto" w:after="0"/>
        <w:ind w:left="720" w:hanging="720"/>
      </w:pPr>
      <w:r>
        <w:rPr>
          <w:i w:val="0"/>
        </w:rPr>
        <w:t xml:space="preserve">Daugherty, L., Johnston, W. R., &amp; Berglund, T. (2020). </w:t>
      </w:r>
      <w:r>
        <w:rPr>
          <w:i/>
        </w:rPr>
        <w:t>Connecting college students to alternative sources of support: The Single Stop Community College Initiative and postsecondary outcomes</w:t>
      </w:r>
      <w:r>
        <w:rPr>
          <w:i w:val="0"/>
        </w:rPr>
        <w:t xml:space="preserve">. RAND Corporation. </w:t>
      </w:r>
      <w:hyperlink r:id="rId12">
        <w:r>
          <w:rPr>
            <w:rFonts w:ascii="Times New Roman" w:hAnsi="Times New Roman" w:cs="Times New Roman"/>
            <w:color w:val="0563C1"/>
            <w:u w:val="single"/>
            <w:sz w:val="24"/>
          </w:rPr>
          <w:t>https://doi.org/10.7249/RR1740-1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Engeström, Y. (2001). Expansive learning at work: Toward an activity theoretical reconceptualization. </w:t>
      </w:r>
      <w:r>
        <w:rPr>
          <w:i/>
        </w:rPr>
        <w:t>Journal of Education and Work, 14</w:t>
      </w:r>
      <w:r>
        <w:rPr>
          <w:i w:val="0"/>
        </w:rPr>
        <w:t xml:space="preserve">(1), 133–156. </w:t>
      </w:r>
      <w:hyperlink r:id="rId13">
        <w:r>
          <w:rPr>
            <w:rFonts w:ascii="Times New Roman" w:hAnsi="Times New Roman" w:cs="Times New Roman"/>
            <w:color w:val="0563C1"/>
            <w:u w:val="single"/>
            <w:sz w:val="24"/>
          </w:rPr>
          <w:t>https://doi.org/10.1080/13639080020028747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Hallberg, K., Hofmeister, K., Bertrand, M., &amp; Morgan, B. (2022). </w:t>
      </w:r>
      <w:r>
        <w:rPr>
          <w:i/>
        </w:rPr>
        <w:t>Supporting community college student success: Evidence from a randomized controlled trial</w:t>
      </w:r>
      <w:r>
        <w:rPr>
          <w:i w:val="0"/>
        </w:rPr>
        <w:t xml:space="preserve"> [Working paper]. University of Chicago Inclusive Economy Lab. </w:t>
      </w:r>
      <w:hyperlink r:id="rId14">
        <w:r>
          <w:rPr>
            <w:rFonts w:ascii="Times New Roman" w:hAnsi="Times New Roman" w:cs="Times New Roman"/>
            <w:color w:val="0563C1"/>
            <w:u w:val="single"/>
            <w:sz w:val="24"/>
          </w:rPr>
          <w:t>https://urbanlabs.uchicago.edu/attachments/89ba899bbb8d94545822ecffb39ae94f2c736345/store/466e7cde4a3f66a7c388d8f39c0ca80efc914f34b85caacb63509f4a4de2/Final_OMD+Working+paper_updated+June+2022.pdf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Hanson, A., Salerno, C., Sigelman, M., de Zeeuw, M., &amp; Moret, S. (2024). </w:t>
      </w:r>
      <w:r>
        <w:rPr>
          <w:i/>
        </w:rPr>
        <w:t>Talent disrupted: College graduates, underemployment, and the way forward</w:t>
      </w:r>
      <w:r>
        <w:rPr>
          <w:i w:val="0"/>
        </w:rPr>
        <w:t xml:space="preserve">. Strada Institute for the Future of Work and Burning Glass Institute. </w:t>
      </w:r>
      <w:hyperlink r:id="rId15">
        <w:r>
          <w:rPr>
            <w:rFonts w:ascii="Times New Roman" w:hAnsi="Times New Roman" w:cs="Times New Roman"/>
            <w:color w:val="0563C1"/>
            <w:u w:val="single"/>
            <w:sz w:val="24"/>
          </w:rPr>
          <w:t>https://www.burningglassinstitute.org/research/talent-disrupted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Hoffman, M., Richmond, J., Morrow, J., &amp; Salomone, K. (2002). Investigating “sense of belonging” in first-year college students. </w:t>
      </w:r>
      <w:r>
        <w:rPr>
          <w:i/>
        </w:rPr>
        <w:t>Journal of College Student Retention: Research, Theory &amp; Practice, 4</w:t>
      </w:r>
      <w:r>
        <w:rPr>
          <w:i w:val="0"/>
        </w:rPr>
        <w:t xml:space="preserve">(3), 227–256. </w:t>
      </w:r>
      <w:hyperlink r:id="rId16">
        <w:r>
          <w:rPr>
            <w:rFonts w:ascii="Times New Roman" w:hAnsi="Times New Roman" w:cs="Times New Roman"/>
            <w:color w:val="0563C1"/>
            <w:u w:val="single"/>
            <w:sz w:val="24"/>
          </w:rPr>
          <w:t>https://doi.org/10.2190/DRYC-CXQ9-JQ8V-HT4V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Illinois Board of Higher Education. (2021). </w:t>
      </w:r>
      <w:r>
        <w:rPr>
          <w:i/>
        </w:rPr>
        <w:t>A thriving Illinois: Higher education paths to equity, sustainability, and growth</w:t>
      </w:r>
      <w:r>
        <w:rPr>
          <w:i w:val="0"/>
        </w:rPr>
        <w:t xml:space="preserve">. </w:t>
      </w:r>
      <w:hyperlink r:id="rId17">
        <w:r>
          <w:rPr>
            <w:rFonts w:ascii="Times New Roman" w:hAnsi="Times New Roman" w:cs="Times New Roman"/>
            <w:color w:val="0563C1"/>
            <w:u w:val="single"/>
            <w:sz w:val="24"/>
          </w:rPr>
          <w:t>https://ibhestrategicplan.ibhe.org/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Illinois Institute of Technology. (2023, May 25). </w:t>
      </w:r>
      <w:r>
        <w:rPr>
          <w:i/>
        </w:rPr>
        <w:t>Illinois Tech recognized as a national leader in lower-income student access and success</w:t>
      </w:r>
      <w:r>
        <w:rPr>
          <w:i w:val="0"/>
        </w:rPr>
        <w:t xml:space="preserve">. </w:t>
      </w:r>
      <w:hyperlink r:id="rId18">
        <w:r>
          <w:rPr>
            <w:rFonts w:ascii="Times New Roman" w:hAnsi="Times New Roman" w:cs="Times New Roman"/>
            <w:color w:val="0563C1"/>
            <w:u w:val="single"/>
            <w:sz w:val="24"/>
          </w:rPr>
          <w:t>https://www.iit.edu/news/illinois-tech-recognized-national-leader-lower-income-student-access-and-success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Illinois Institute of Technology. (2024). </w:t>
      </w:r>
      <w:r>
        <w:rPr>
          <w:i/>
        </w:rPr>
        <w:t>Common data set 2023–2024</w:t>
      </w:r>
      <w:r>
        <w:rPr>
          <w:i w:val="0"/>
        </w:rPr>
        <w:t xml:space="preserve">. </w:t>
      </w:r>
      <w:hyperlink r:id="rId19">
        <w:r>
          <w:rPr>
            <w:rFonts w:ascii="Times New Roman" w:hAnsi="Times New Roman" w:cs="Times New Roman"/>
            <w:color w:val="0563C1"/>
            <w:u w:val="single"/>
            <w:sz w:val="24"/>
          </w:rPr>
          <w:t>https://iit.edu/sites/default/files/2024-06/Full-2023-2024-Common-Data-Set.pdf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Logan, F. (2026). </w:t>
      </w:r>
      <w:r>
        <w:rPr>
          <w:i/>
        </w:rPr>
        <w:t>How do technology professionals engage in distributed work? An activity systems analysis in corporate and educational organizations</w:t>
      </w:r>
      <w:r>
        <w:rPr>
          <w:i w:val="0"/>
        </w:rPr>
        <w:t xml:space="preserve"> [Doctoral thesis, Lancaster University]. </w:t>
      </w:r>
      <w:hyperlink r:id="rId20">
        <w:r>
          <w:rPr>
            <w:rFonts w:ascii="Times New Roman" w:hAnsi="Times New Roman" w:cs="Times New Roman"/>
            <w:color w:val="0563C1"/>
            <w:u w:val="single"/>
            <w:sz w:val="24"/>
          </w:rPr>
          <w:t>https://research.lancaster-university.uk/en/publications/how-do-technology-professionals-engage-in-distributed-work-an-act/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Perez, R. J., &amp; Kezar, A. (2025). Ecological validation: A complementary approach to supporting minoritized student success. </w:t>
      </w:r>
      <w:r>
        <w:rPr>
          <w:i/>
        </w:rPr>
        <w:t>Journal of Postsecondary Student Success, 4</w:t>
      </w:r>
      <w:r>
        <w:rPr>
          <w:i w:val="0"/>
        </w:rPr>
        <w:t xml:space="preserve">(4), 1–15. </w:t>
      </w:r>
      <w:hyperlink r:id="rId21">
        <w:r>
          <w:rPr>
            <w:rFonts w:ascii="Times New Roman" w:hAnsi="Times New Roman" w:cs="Times New Roman"/>
            <w:color w:val="0563C1"/>
            <w:u w:val="single"/>
            <w:sz w:val="24"/>
          </w:rPr>
          <w:t>https://doi.org/10.33009/fsop_jpss135324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Rendón, L. I. (1994). Validating culturally diverse students: Toward a new model of learning and student development. </w:t>
      </w:r>
      <w:r>
        <w:rPr>
          <w:i/>
        </w:rPr>
        <w:t>Innovative Higher Education, 19</w:t>
      </w:r>
      <w:r>
        <w:rPr>
          <w:i w:val="0"/>
        </w:rPr>
        <w:t xml:space="preserve">(1), 33–51. </w:t>
      </w:r>
      <w:hyperlink r:id="rId22">
        <w:r>
          <w:rPr>
            <w:rFonts w:ascii="Times New Roman" w:hAnsi="Times New Roman" w:cs="Times New Roman"/>
            <w:color w:val="0563C1"/>
            <w:u w:val="single"/>
            <w:sz w:val="24"/>
          </w:rPr>
          <w:t>https://doi.org/10.1007/BF01191156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The Institute for College Access &amp; Success. (2021). </w:t>
      </w:r>
      <w:r>
        <w:rPr>
          <w:i/>
        </w:rPr>
        <w:t>Comprehensive approaches to student success programs (CASS): Key lessons for state policymakers</w:t>
      </w:r>
      <w:r>
        <w:rPr>
          <w:i w:val="0"/>
        </w:rPr>
        <w:t xml:space="preserve"> [Fact sheet]. </w:t>
      </w:r>
      <w:hyperlink r:id="rId23">
        <w:r>
          <w:rPr>
            <w:rFonts w:ascii="Times New Roman" w:hAnsi="Times New Roman" w:cs="Times New Roman"/>
            <w:color w:val="0563C1"/>
            <w:u w:val="single"/>
            <w:sz w:val="24"/>
          </w:rPr>
          <w:t>https://ticas.org/our-work/college-completion-2/comprehensive-approaches-to-student-success-programs-nationwide-by-state-and-institution/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Virkkunen, J., &amp; Newnham, D. S. (2013). </w:t>
      </w:r>
      <w:r>
        <w:rPr>
          <w:i/>
        </w:rPr>
        <w:t>The Change Laboratory: A tool for collaborative development of work and education</w:t>
      </w:r>
      <w:r>
        <w:rPr>
          <w:i w:val="0"/>
        </w:rPr>
        <w:t xml:space="preserve">. Sense Publishers. </w:t>
      </w:r>
      <w:hyperlink r:id="rId24">
        <w:r>
          <w:rPr>
            <w:rFonts w:ascii="Times New Roman" w:hAnsi="Times New Roman" w:cs="Times New Roman"/>
            <w:color w:val="0563C1"/>
            <w:u w:val="single"/>
            <w:sz w:val="24"/>
          </w:rPr>
          <w:t>https://link.springer.com/book/10.1007/978-94-6209-326-3</w:t>
        </w:r>
      </w:hyperlink>
    </w:p>
    <w:p>
      <w:pPr>
        <w:spacing w:line="480" w:lineRule="auto" w:after="0"/>
        <w:ind w:left="720" w:hanging="720"/>
      </w:pPr>
      <w:r>
        <w:rPr>
          <w:i w:val="0"/>
        </w:rPr>
        <w:t xml:space="preserve">Weiss, M. J., Ratledge, A., Sommo, C., &amp; Gupta, H. (2019). Supporting community college students from start to degree completion: Long-term evidence from a randomized trial of CUNY’s ASAP. </w:t>
      </w:r>
      <w:r>
        <w:rPr>
          <w:i/>
        </w:rPr>
        <w:t>American Economic Journal: Applied Economics, 11</w:t>
      </w:r>
      <w:r>
        <w:rPr>
          <w:i w:val="0"/>
        </w:rPr>
        <w:t xml:space="preserve">(3), 253–297. </w:t>
      </w:r>
      <w:hyperlink r:id="rId25">
        <w:r>
          <w:rPr>
            <w:rFonts w:ascii="Times New Roman" w:hAnsi="Times New Roman" w:cs="Times New Roman"/>
            <w:color w:val="0563C1"/>
            <w:u w:val="single"/>
            <w:sz w:val="24"/>
          </w:rPr>
          <w:t>https://doi.org/10.1257/app.20170430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1177/106907279600400103" TargetMode="External"/><Relationship Id="rId10" Type="http://schemas.openxmlformats.org/officeDocument/2006/relationships/hyperlink" Target="https://doi.org/10.3102/0162373713500523" TargetMode="External"/><Relationship Id="rId11" Type="http://schemas.openxmlformats.org/officeDocument/2006/relationships/hyperlink" Target="https://braven.org/wp-content/uploads/2026/06/2026-National-JobsReport.pdf" TargetMode="External"/><Relationship Id="rId12" Type="http://schemas.openxmlformats.org/officeDocument/2006/relationships/hyperlink" Target="https://doi.org/10.7249/RR1740-1" TargetMode="External"/><Relationship Id="rId13" Type="http://schemas.openxmlformats.org/officeDocument/2006/relationships/hyperlink" Target="https://doi.org/10.1080/13639080020028747" TargetMode="External"/><Relationship Id="rId14" Type="http://schemas.openxmlformats.org/officeDocument/2006/relationships/hyperlink" Target="https://urbanlabs.uchicago.edu/attachments/89ba899bbb8d94545822ecffb39ae94f2c736345/store/466e7cde4a3f66a7c388d8f39c0ca80efc914f34b85caacb63509f4a4de2/Final_OMD+Working+paper_updated+June+2022.pdf" TargetMode="External"/><Relationship Id="rId15" Type="http://schemas.openxmlformats.org/officeDocument/2006/relationships/hyperlink" Target="https://www.burningglassinstitute.org/research/talent-disrupted" TargetMode="External"/><Relationship Id="rId16" Type="http://schemas.openxmlformats.org/officeDocument/2006/relationships/hyperlink" Target="https://doi.org/10.2190/DRYC-CXQ9-JQ8V-HT4V" TargetMode="External"/><Relationship Id="rId17" Type="http://schemas.openxmlformats.org/officeDocument/2006/relationships/hyperlink" Target="https://ibhestrategicplan.ibhe.org/" TargetMode="External"/><Relationship Id="rId18" Type="http://schemas.openxmlformats.org/officeDocument/2006/relationships/hyperlink" Target="https://www.iit.edu/news/illinois-tech-recognized-national-leader-lower-income-student-access-and-success" TargetMode="External"/><Relationship Id="rId19" Type="http://schemas.openxmlformats.org/officeDocument/2006/relationships/hyperlink" Target="https://iit.edu/sites/default/files/2024-06/Full-2023-2024-Common-Data-Set.pdf" TargetMode="External"/><Relationship Id="rId20" Type="http://schemas.openxmlformats.org/officeDocument/2006/relationships/hyperlink" Target="https://research.lancaster-university.uk/en/publications/how-do-technology-professionals-engage-in-distributed-work-an-act/" TargetMode="External"/><Relationship Id="rId21" Type="http://schemas.openxmlformats.org/officeDocument/2006/relationships/hyperlink" Target="https://doi.org/10.33009/fsop_jpss135324" TargetMode="External"/><Relationship Id="rId22" Type="http://schemas.openxmlformats.org/officeDocument/2006/relationships/hyperlink" Target="https://doi.org/10.1007/BF01191156" TargetMode="External"/><Relationship Id="rId23" Type="http://schemas.openxmlformats.org/officeDocument/2006/relationships/hyperlink" Target="https://ticas.org/our-work/college-completion-2/comprehensive-approaches-to-student-success-programs-nationwide-by-state-and-institution/" TargetMode="External"/><Relationship Id="rId24" Type="http://schemas.openxmlformats.org/officeDocument/2006/relationships/hyperlink" Target="https://link.springer.com/book/10.1007/978-94-6209-326-3" TargetMode="External"/><Relationship Id="rId25" Type="http://schemas.openxmlformats.org/officeDocument/2006/relationships/hyperlink" Target="https://doi.org/10.1257/app.201704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2026-10-26T00:00:00Z</dcterms:created>
  <dcterms:modified xsi:type="dcterms:W3CDTF">2026-10-26T00:00:00Z</dcterms:modified>
  <cp:category/>
</cp:coreProperties>
</file>