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Statement of Work</w:t>
      </w:r>
    </w:p>
    <w:p>
      <w:r>
        <w:t>Vendor shall deliver platform migration services per the RFP.</w:t>
      </w:r>
    </w:p>
    <w:p>
      <w:pPr>
        <w:pStyle w:val="Heading2"/>
      </w:pPr>
      <w:r>
        <w:t>Deliverables</w:t>
      </w:r>
    </w:p>
    <w:p>
      <w:r>
        <w:t>Phase 1 discovery and Phase 2 implementation milestones.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basedOn w:val="Normal"/>
    <w:uiPriority w:val="9"/>
    <w:qFormat/>
    <w:pPr>
      <w:outlineLvl w:val="0"/>
    </w:pPr>
  </w:style>
  <w:style w:type="paragraph" w:styleId="Heading2">
    <w:name w:val="heading 2"/>
    <w:basedOn w:val="Normal"/>
    <w:uiPriority w:val="9"/>
    <w:qFormat/>
    <w:pPr>
      <w:outlineLvl w:val="1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