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b/>
          <w:bCs/>
          <w:color w:val="14375E"/>
          <w:sz w:val="36"/>
          <w:szCs w:val="36"/>
        </w:rPr>
        <w:t xml:space="preserve">LÍNEA BASE DE CONTROL</w:t>
      </w:r>
    </w:p>
    <w:p>
      <w:pPr>
        <w:spacing w:after="80" w:before="0"/>
        <w:jc w:val="center"/>
      </w:pPr>
      <w:r>
        <w:rPr>
          <w:rFonts w:ascii="Arial" w:cs="Arial" w:eastAsia="Arial" w:hAnsi="Arial"/>
          <w:b/>
          <w:bCs/>
          <w:color w:val="2E75B6"/>
          <w:sz w:val="30"/>
          <w:szCs w:val="30"/>
        </w:rPr>
        <w:t xml:space="preserve">CPI — Cost Performance Index</w:t>
      </w:r>
    </w:p>
    <w:p>
      <w:pPr>
        <w:spacing w:after="80" w:before="0"/>
        <w:jc w:val="center"/>
      </w:pPr>
      <w:r>
        <w:rPr>
          <w:rFonts w:ascii="Arial" w:cs="Arial" w:eastAsia="Arial" w:hAnsi="Arial"/>
          <w:color w:val="555555"/>
          <w:sz w:val="22"/>
          <w:szCs w:val="22"/>
        </w:rPr>
        <w:t xml:space="preserve">Portafolio de Proyectos — Marzo a Julio 2026</w:t>
      </w:r>
    </w:p>
    <w:p>
      <w:pPr>
        <w:pBdr>
          <w:bottom w:val="single" w:color="0A3622" w:sz="12" w:space="1"/>
        </w:pBdr>
        <w:spacing w:after="220" w:before="0"/>
        <w:jc w:val="center"/>
      </w:pPr>
      <w:r>
        <w:rPr>
          <w:rFonts w:ascii="Arial" w:cs="Arial" w:eastAsia="Arial" w:hAnsi="Arial"/>
          <w:b/>
          <w:bCs/>
          <w:color w:val="0A3622"/>
          <w:sz w:val="22"/>
          <w:szCs w:val="22"/>
        </w:rPr>
        <w:t xml:space="preserve">Los tres portafolios alcanzan proceso CONTROLADO</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1E7DD" w:val="clear"/>
            <w:tcMar>
              <w:top w:type="dxa" w:w="80"/>
              <w:left w:type="dxa" w:w="110"/>
              <w:bottom w:type="dxa" w:w="80"/>
              <w:right w:type="dxa" w:w="110"/>
            </w:tcMar>
          </w:tcPr>
          <w:p>
            <w:pPr>
              <w:jc w:val="center"/>
            </w:pPr>
            <w:r>
              <w:rPr>
                <w:rFonts w:ascii="Arial" w:cs="Arial" w:eastAsia="Arial" w:hAnsi="Arial"/>
                <w:b/>
                <w:bCs/>
                <w:color w:val="0A3622"/>
                <w:sz w:val="24"/>
                <w:szCs w:val="24"/>
              </w:rPr>
              <w:t xml:space="preserve">80 observaciones</w:t>
            </w:r>
          </w:p>
          <w:p>
            <w:pPr>
              <w:jc w:val="center"/>
            </w:pPr>
            <w:r>
              <w:rPr>
                <w:rFonts w:ascii="Arial" w:cs="Arial" w:eastAsia="Arial" w:hAnsi="Arial"/>
                <w:color w:val="555555"/>
                <w:sz w:val="18"/>
                <w:szCs w:val="18"/>
              </w:rPr>
              <w:t xml:space="preserve">Mar–Jul 2026</w:t>
            </w:r>
          </w:p>
        </w:tc>
        <w:tc>
          <w:tcPr>
            <w:tcW w:type="dxa" w:w="2340"/>
            <w:tcBorders>
              <w:top w:val="single" w:color="CCCCCC" w:sz="1"/>
              <w:left w:val="single" w:color="CCCCCC" w:sz="1"/>
              <w:bottom w:val="single" w:color="CCCCCC" w:sz="1"/>
              <w:right w:val="single" w:color="CCCCCC" w:sz="1"/>
            </w:tcBorders>
            <w:shd w:fill="D1E7DD" w:val="clear"/>
            <w:tcMar>
              <w:top w:type="dxa" w:w="80"/>
              <w:left w:type="dxa" w:w="110"/>
              <w:bottom w:type="dxa" w:w="80"/>
              <w:right w:type="dxa" w:w="110"/>
            </w:tcMar>
          </w:tcPr>
          <w:p>
            <w:pPr>
              <w:jc w:val="center"/>
            </w:pPr>
            <w:r>
              <w:rPr>
                <w:rFonts w:ascii="Arial" w:cs="Arial" w:eastAsia="Arial" w:hAnsi="Arial"/>
                <w:b/>
                <w:bCs/>
                <w:color w:val="0A3622"/>
                <w:sz w:val="24"/>
                <w:szCs w:val="24"/>
              </w:rPr>
              <w:t xml:space="preserve">19 proyectos</w:t>
            </w:r>
          </w:p>
          <w:p>
            <w:pPr>
              <w:jc w:val="center"/>
            </w:pPr>
            <w:r>
              <w:rPr>
                <w:rFonts w:ascii="Arial" w:cs="Arial" w:eastAsia="Arial" w:hAnsi="Arial"/>
                <w:color w:val="555555"/>
                <w:sz w:val="18"/>
                <w:szCs w:val="18"/>
              </w:rPr>
              <w:t xml:space="preserve">activos</w:t>
            </w:r>
          </w:p>
        </w:tc>
        <w:tc>
          <w:tcPr>
            <w:tcW w:type="dxa" w:w="2340"/>
            <w:tcBorders>
              <w:top w:val="single" w:color="CCCCCC" w:sz="1"/>
              <w:left w:val="single" w:color="CCCCCC" w:sz="1"/>
              <w:bottom w:val="single" w:color="CCCCCC" w:sz="1"/>
              <w:right w:val="single" w:color="CCCCCC" w:sz="1"/>
            </w:tcBorders>
            <w:shd w:fill="D1E7DD" w:val="clear"/>
            <w:tcMar>
              <w:top w:type="dxa" w:w="80"/>
              <w:left w:type="dxa" w:w="110"/>
              <w:bottom w:type="dxa" w:w="80"/>
              <w:right w:type="dxa" w:w="110"/>
            </w:tcMar>
          </w:tcPr>
          <w:p>
            <w:pPr>
              <w:jc w:val="center"/>
            </w:pPr>
            <w:r>
              <w:rPr>
                <w:rFonts w:ascii="Arial" w:cs="Arial" w:eastAsia="Arial" w:hAnsi="Arial"/>
                <w:b/>
                <w:bCs/>
                <w:color w:val="0A3622"/>
                <w:sz w:val="24"/>
                <w:szCs w:val="24"/>
              </w:rPr>
              <w:t xml:space="preserve">3 portafolios</w:t>
            </w:r>
          </w:p>
          <w:p>
            <w:pPr>
              <w:jc w:val="center"/>
            </w:pPr>
            <w:r>
              <w:rPr>
                <w:rFonts w:ascii="Arial" w:cs="Arial" w:eastAsia="Arial" w:hAnsi="Arial"/>
                <w:color w:val="555555"/>
                <w:sz w:val="18"/>
                <w:szCs w:val="18"/>
              </w:rPr>
              <w:t xml:space="preserve">DSI · TI · CONS</w:t>
            </w:r>
          </w:p>
        </w:tc>
        <w:tc>
          <w:tcPr>
            <w:tcW w:type="dxa" w:w="2340"/>
            <w:tcBorders>
              <w:top w:val="single" w:color="CCCCCC" w:sz="1"/>
              <w:left w:val="single" w:color="CCCCCC" w:sz="1"/>
              <w:bottom w:val="single" w:color="CCCCCC" w:sz="1"/>
              <w:right w:val="single" w:color="CCCCCC" w:sz="1"/>
            </w:tcBorders>
            <w:shd w:fill="D1E7DD" w:val="clear"/>
            <w:tcMar>
              <w:top w:type="dxa" w:w="80"/>
              <w:left w:type="dxa" w:w="110"/>
              <w:bottom w:type="dxa" w:w="80"/>
              <w:right w:type="dxa" w:w="110"/>
            </w:tcMar>
          </w:tcPr>
          <w:p>
            <w:pPr>
              <w:jc w:val="center"/>
            </w:pPr>
            <w:r>
              <w:rPr>
                <w:rFonts w:ascii="Arial" w:cs="Arial" w:eastAsia="Arial" w:hAnsi="Arial"/>
                <w:b/>
                <w:bCs/>
                <w:color w:val="0A3622"/>
                <w:sz w:val="24"/>
                <w:szCs w:val="24"/>
              </w:rPr>
              <w:t xml:space="preserve">CPI techo</w:t>
            </w:r>
          </w:p>
          <w:p>
            <w:pPr>
              <w:jc w:val="center"/>
            </w:pPr>
            <w:r>
              <w:rPr>
                <w:rFonts w:ascii="Arial" w:cs="Arial" w:eastAsia="Arial" w:hAnsi="Arial"/>
                <w:color w:val="555555"/>
                <w:sz w:val="18"/>
                <w:szCs w:val="18"/>
              </w:rPr>
              <w:t xml:space="preserve">5.0</w:t>
            </w:r>
          </w:p>
        </w:tc>
      </w:tr>
    </w:tbl>
    <w:p>
      <w:pPr>
        <w:spacing w:after="60" w:before="60"/>
      </w:pPr>
      <w:r>
        <w:t xml:space="preserve"/>
      </w:r>
    </w:p>
    <w:p>
      <w:pPr>
        <w:spacing w:after="60" w:before="60"/>
      </w:pPr>
      <w:r>
        <w:t xml:space="preserve"/>
      </w:r>
    </w:p>
    <w:p>
      <w:pPr>
        <w:spacing w:after="60" w:before="60"/>
      </w:pPr>
      <w:r>
        <w:t xml:space="preserve"/>
      </w:r>
    </w:p>
    <w:p>
      <w:pPr>
        <w:spacing w:after="60" w:before="0"/>
        <w:jc w:val="center"/>
      </w:pPr>
      <w:r>
        <w:rPr>
          <w:rFonts w:ascii="Arial" w:cs="Arial" w:eastAsia="Arial" w:hAnsi="Arial"/>
          <w:color w:val="999999"/>
          <w:sz w:val="22"/>
          <w:szCs w:val="22"/>
        </w:rPr>
        <w:t xml:space="preserve">Agosto 2026</w:t>
      </w:r>
    </w:p>
    <w:p>
      <w:r>
        <w:br w:type="page"/>
      </w:r>
    </w:p>
    <w:p>
      <w:pPr>
        <w:pStyle w:val="Heading1"/>
        <w:pBdr>
          <w:bottom w:val="single" w:color="2E75B6" w:sz="6" w:space="1"/>
        </w:pBdr>
        <w:spacing w:after="140" w:before="300"/>
      </w:pPr>
      <w:r>
        <w:rPr>
          <w:rFonts w:ascii="Arial" w:cs="Arial" w:eastAsia="Arial" w:hAnsi="Arial"/>
          <w:b/>
          <w:bCs/>
          <w:color w:val="1F4E79"/>
          <w:sz w:val="28"/>
          <w:szCs w:val="28"/>
        </w:rPr>
        <w:t xml:space="preserve">1. Contexto y metodología</w:t>
      </w:r>
    </w:p>
    <w:p>
      <w:pPr>
        <w:spacing w:after="120" w:before="80"/>
        <w:jc w:val="left"/>
      </w:pPr>
      <w:r>
        <w:rPr>
          <w:rFonts w:ascii="Arial" w:cs="Arial" w:eastAsia="Arial" w:hAnsi="Arial"/>
          <w:b w:val="false"/>
          <w:bCs w:val="false"/>
          <w:color w:val="333333"/>
          <w:sz w:val="22"/>
          <w:szCs w:val="22"/>
        </w:rPr>
        <w:t xml:space="preserve">Este reporte documenta el análisis de línea base de control estadístico de proceso para el indicador CPI (Cost Performance Index) del portafolio de proyectos, usando los datos de ejecución del período Marzo–Julio 2026. Se aplica un techo de 5.0 al CPI para neutralizar la distorsión producida por proyectos en etapas muy tempranas con costos aún bajos.</w:t>
      </w:r>
    </w:p>
    <w:p>
      <w:pPr>
        <w:pStyle w:val="Heading2"/>
        <w:spacing w:after="100" w:before="200"/>
      </w:pPr>
      <w:r>
        <w:rPr>
          <w:rFonts w:ascii="Arial" w:cs="Arial" w:eastAsia="Arial" w:hAnsi="Arial"/>
          <w:b/>
          <w:bCs/>
          <w:color w:val="1F4E79"/>
          <w:sz w:val="24"/>
          <w:szCs w:val="24"/>
        </w:rPr>
        <w:t xml:space="preserve">1.1 Dataset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Variable</w:t>
            </w:r>
          </w:p>
        </w:tc>
        <w:tc>
          <w:tcPr>
            <w:tcW w:type="dxa" w:w="228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Valor</w:t>
            </w:r>
          </w:p>
        </w:tc>
        <w:tc>
          <w:tcPr>
            <w:tcW w:type="dxa" w:w="228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Detalle</w:t>
            </w:r>
          </w:p>
        </w:tc>
        <w:tc>
          <w:tcPr>
            <w:tcW w:type="dxa" w:w="200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Nota</w:t>
            </w:r>
          </w:p>
        </w:tc>
      </w:tr>
      <w:tr>
        <w:tc>
          <w:tcPr>
            <w:tcW w:type="dxa" w:w="28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bCs/>
                <w:color w:val="1F4E79"/>
                <w:sz w:val="18"/>
                <w:szCs w:val="18"/>
              </w:rPr>
              <w:t xml:space="preserve">Período analizado</w:t>
            </w:r>
          </w:p>
        </w:tc>
        <w:tc>
          <w:tcPr>
            <w:tcW w:type="dxa" w:w="228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222222"/>
                <w:sz w:val="18"/>
                <w:szCs w:val="18"/>
              </w:rPr>
              <w:t xml:space="preserve">Marzo – Julio 2026</w:t>
            </w:r>
          </w:p>
        </w:tc>
        <w:tc>
          <w:tcPr>
            <w:tcW w:type="dxa" w:w="228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val="false"/>
                <w:bCs w:val="false"/>
                <w:color w:val="222222"/>
                <w:sz w:val="18"/>
                <w:szCs w:val="18"/>
              </w:rPr>
              <w:t xml:space="preserve">5 meses</w:t>
            </w:r>
          </w:p>
        </w:tc>
        <w:tc>
          <w:tcPr>
            <w:tcW w:type="dxa" w:w="2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Datos hipotéticos</w:t>
            </w:r>
          </w:p>
        </w:tc>
      </w:tr>
      <w:tr>
        <w:tc>
          <w:tcPr>
            <w:tcW w:type="dxa" w:w="28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bCs/>
                <w:color w:val="1F4E79"/>
                <w:sz w:val="18"/>
                <w:szCs w:val="18"/>
              </w:rPr>
              <w:t xml:space="preserve">Observaciones</w:t>
            </w:r>
          </w:p>
        </w:tc>
        <w:tc>
          <w:tcPr>
            <w:tcW w:type="dxa" w:w="228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222222"/>
                <w:sz w:val="18"/>
                <w:szCs w:val="18"/>
              </w:rPr>
              <w:t xml:space="preserve">80</w:t>
            </w:r>
          </w:p>
        </w:tc>
        <w:tc>
          <w:tcPr>
            <w:tcW w:type="dxa" w:w="228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val="false"/>
                <w:bCs w:val="false"/>
                <w:color w:val="222222"/>
                <w:sz w:val="18"/>
                <w:szCs w:val="18"/>
              </w:rPr>
              <w:t xml:space="preserve">~4 por proyecto/mes</w:t>
            </w:r>
          </w:p>
        </w:tc>
        <w:tc>
          <w:tcPr>
            <w:tcW w:type="dxa" w:w="2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1 registro por proyecto por mes</w:t>
            </w:r>
          </w:p>
        </w:tc>
      </w:tr>
      <w:tr>
        <w:tc>
          <w:tcPr>
            <w:tcW w:type="dxa" w:w="28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bCs/>
                <w:color w:val="1F4E79"/>
                <w:sz w:val="18"/>
                <w:szCs w:val="18"/>
              </w:rPr>
              <w:t xml:space="preserve">Proyectos</w:t>
            </w:r>
          </w:p>
        </w:tc>
        <w:tc>
          <w:tcPr>
            <w:tcW w:type="dxa" w:w="228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222222"/>
                <w:sz w:val="18"/>
                <w:szCs w:val="18"/>
              </w:rPr>
              <w:t xml:space="preserve">19</w:t>
            </w:r>
          </w:p>
        </w:tc>
        <w:tc>
          <w:tcPr>
            <w:tcW w:type="dxa" w:w="228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val="false"/>
                <w:bCs w:val="false"/>
                <w:color w:val="222222"/>
                <w:sz w:val="18"/>
                <w:szCs w:val="18"/>
              </w:rPr>
              <w:t xml:space="preserve">Fin posterior a Feb 2026</w:t>
            </w:r>
          </w:p>
        </w:tc>
        <w:tc>
          <w:tcPr>
            <w:tcW w:type="dxa" w:w="2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Activos al corte</w:t>
            </w:r>
          </w:p>
        </w:tc>
      </w:tr>
      <w:tr>
        <w:tc>
          <w:tcPr>
            <w:tcW w:type="dxa" w:w="28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bCs/>
                <w:color w:val="1F4E79"/>
                <w:sz w:val="18"/>
                <w:szCs w:val="18"/>
              </w:rPr>
              <w:t xml:space="preserve">Portafolios</w:t>
            </w:r>
          </w:p>
        </w:tc>
        <w:tc>
          <w:tcPr>
            <w:tcW w:type="dxa" w:w="228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222222"/>
                <w:sz w:val="18"/>
                <w:szCs w:val="18"/>
              </w:rPr>
              <w:t xml:space="preserve">3</w:t>
            </w:r>
          </w:p>
        </w:tc>
        <w:tc>
          <w:tcPr>
            <w:tcW w:type="dxa" w:w="228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val="false"/>
                <w:bCs w:val="false"/>
                <w:color w:val="222222"/>
                <w:sz w:val="18"/>
                <w:szCs w:val="18"/>
              </w:rPr>
              <w:t xml:space="preserve">DSI, TI, CONSULTORÍA</w:t>
            </w:r>
          </w:p>
        </w:tc>
        <w:tc>
          <w:tcPr>
            <w:tcW w:type="dxa" w:w="2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Mismos del histórico</w:t>
            </w:r>
          </w:p>
        </w:tc>
      </w:tr>
      <w:tr>
        <w:tc>
          <w:tcPr>
            <w:tcW w:type="dxa" w:w="28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bCs/>
                <w:color w:val="1F4E79"/>
                <w:sz w:val="18"/>
                <w:szCs w:val="18"/>
              </w:rPr>
              <w:t xml:space="preserve">Techo CPI aplicado</w:t>
            </w:r>
          </w:p>
        </w:tc>
        <w:tc>
          <w:tcPr>
            <w:tcW w:type="dxa" w:w="228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222222"/>
                <w:sz w:val="18"/>
                <w:szCs w:val="18"/>
              </w:rPr>
              <w:t xml:space="preserve">5.0</w:t>
            </w:r>
          </w:p>
        </w:tc>
        <w:tc>
          <w:tcPr>
            <w:tcW w:type="dxa" w:w="228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val="false"/>
                <w:bCs w:val="false"/>
                <w:color w:val="222222"/>
                <w:sz w:val="18"/>
                <w:szCs w:val="18"/>
              </w:rPr>
              <w:t xml:space="preserve">Igual que en dataset original</w:t>
            </w:r>
          </w:p>
        </w:tc>
        <w:tc>
          <w:tcPr>
            <w:tcW w:type="dxa" w:w="2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Elimina distorsión fase inicial</w:t>
            </w:r>
          </w:p>
        </w:tc>
      </w:tr>
    </w:tbl>
    <w:p>
      <w:pPr>
        <w:spacing w:after="60" w:before="60"/>
      </w:pPr>
      <w:r>
        <w:t xml:space="preserve"/>
      </w:r>
    </w:p>
    <w:p>
      <w:pPr>
        <w:pStyle w:val="Heading2"/>
        <w:spacing w:after="100" w:before="200"/>
      </w:pPr>
      <w:r>
        <w:rPr>
          <w:rFonts w:ascii="Arial" w:cs="Arial" w:eastAsia="Arial" w:hAnsi="Arial"/>
          <w:b/>
          <w:bCs/>
          <w:color w:val="1F4E79"/>
          <w:sz w:val="24"/>
          <w:szCs w:val="24"/>
        </w:rPr>
        <w:t xml:space="preserve">1.2 Metodología</w:t>
      </w:r>
    </w:p>
    <w:p>
      <w:pPr>
        <w:pStyle w:val="ListParagraph"/>
        <w:numPr>
          <w:ilvl w:val="0"/>
          <w:numId w:val="2"/>
        </w:numPr>
        <w:spacing w:after="50" w:before="50"/>
      </w:pPr>
      <w:r>
        <w:rPr>
          <w:rFonts w:ascii="Arial" w:cs="Arial" w:eastAsia="Arial" w:hAnsi="Arial"/>
          <w:color w:val="333333"/>
          <w:sz w:val="22"/>
          <w:szCs w:val="22"/>
        </w:rPr>
        <w:t xml:space="preserve">Línea central CL: media aritmética del CPI (con techo 5.0) en el período.</w:t>
      </w:r>
    </w:p>
    <w:p>
      <w:pPr>
        <w:pStyle w:val="ListParagraph"/>
        <w:numPr>
          <w:ilvl w:val="0"/>
          <w:numId w:val="2"/>
        </w:numPr>
        <w:spacing w:after="50" w:before="50"/>
      </w:pPr>
      <w:r>
        <w:rPr>
          <w:rFonts w:ascii="Arial" w:cs="Arial" w:eastAsia="Arial" w:hAnsi="Arial"/>
          <w:color w:val="333333"/>
          <w:sz w:val="22"/>
          <w:szCs w:val="22"/>
        </w:rPr>
        <w:t xml:space="preserve">UCL = CL + 3σ — límite superior de control. Valores por encima indican causa especial.</w:t>
      </w:r>
    </w:p>
    <w:p>
      <w:pPr>
        <w:pStyle w:val="ListParagraph"/>
        <w:numPr>
          <w:ilvl w:val="0"/>
          <w:numId w:val="2"/>
        </w:numPr>
        <w:spacing w:after="50" w:before="50"/>
      </w:pPr>
      <w:r>
        <w:rPr>
          <w:rFonts w:ascii="Arial" w:cs="Arial" w:eastAsia="Arial" w:hAnsi="Arial"/>
          <w:color w:val="333333"/>
          <w:sz w:val="22"/>
          <w:szCs w:val="22"/>
        </w:rPr>
        <w:t xml:space="preserve">LCL = CL − 3σ — límite inferior de control.</w:t>
      </w:r>
    </w:p>
    <w:p>
      <w:pPr>
        <w:pStyle w:val="ListParagraph"/>
        <w:numPr>
          <w:ilvl w:val="0"/>
          <w:numId w:val="2"/>
        </w:numPr>
        <w:spacing w:after="50" w:before="50"/>
      </w:pPr>
      <w:r>
        <w:rPr>
          <w:rFonts w:ascii="Arial" w:cs="Arial" w:eastAsia="Arial" w:hAnsi="Arial"/>
          <w:color w:val="333333"/>
          <w:sz w:val="22"/>
          <w:szCs w:val="22"/>
        </w:rPr>
        <w:t xml:space="preserve">CV (coeficiente de variación) = σ / |CL| × 100% — mide dispersión relativa.</w:t>
      </w:r>
    </w:p>
    <w:p>
      <w:pPr>
        <w:pStyle w:val="ListParagraph"/>
        <w:numPr>
          <w:ilvl w:val="0"/>
          <w:numId w:val="2"/>
        </w:numPr>
        <w:spacing w:after="50" w:before="50"/>
      </w:pPr>
      <w:r>
        <w:rPr>
          <w:rFonts w:ascii="Arial" w:cs="Arial" w:eastAsia="Arial" w:hAnsi="Arial"/>
          <w:color w:val="333333"/>
          <w:sz w:val="22"/>
          <w:szCs w:val="22"/>
        </w:rPr>
        <w:t xml:space="preserve">Reglas de Nelson R1–R6 aplicadas sobre la serie ordenada por Mes Relativo (fase de ejecución).</w:t>
      </w:r>
    </w:p>
    <w:p>
      <w:pPr>
        <w:pStyle w:val="ListParagraph"/>
        <w:numPr>
          <w:ilvl w:val="0"/>
          <w:numId w:val="2"/>
        </w:numPr>
        <w:spacing w:after="50" w:before="50"/>
      </w:pPr>
      <w:r>
        <w:rPr>
          <w:rFonts w:ascii="Arial" w:cs="Arial" w:eastAsia="Arial" w:hAnsi="Arial"/>
          <w:color w:val="333333"/>
          <w:sz w:val="22"/>
          <w:szCs w:val="22"/>
        </w:rPr>
        <w:t xml:space="preserve">Veredicto: CONTROLADO = sin reglas activas. MARGINAL = 1-2 reglas sin R2. NO CONTROLADO = R2 activa o 3+ reglas.</w:t>
      </w:r>
    </w:p>
    <w:p>
      <w:pPr>
        <w:spacing w:after="60" w:before="60"/>
      </w:pPr>
      <w:r>
        <w:t xml:space="preserve"/>
      </w:r>
    </w:p>
    <w:p>
      <w:pPr>
        <w:pStyle w:val="Heading2"/>
        <w:spacing w:after="100" w:before="200"/>
      </w:pPr>
      <w:r>
        <w:rPr>
          <w:rFonts w:ascii="Arial" w:cs="Arial" w:eastAsia="Arial" w:hAnsi="Arial"/>
          <w:b/>
          <w:bCs/>
          <w:color w:val="1F4E79"/>
          <w:sz w:val="24"/>
          <w:szCs w:val="24"/>
        </w:rPr>
        <w:t xml:space="preserve">1.3 Reglas de Nelson evaluadas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960"/>
        <w:gridCol w:w="2500"/>
      </w:tblGrid>
      <w:tr>
        <w:tc>
          <w:tcPr>
            <w:tcW w:type="dxa" w:w="90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Regla</w:t>
            </w:r>
          </w:p>
        </w:tc>
        <w:tc>
          <w:tcPr>
            <w:tcW w:type="dxa" w:w="596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Definición</w:t>
            </w:r>
          </w:p>
        </w:tc>
        <w:tc>
          <w:tcPr>
            <w:tcW w:type="dxa" w:w="250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Señal que indica</w:t>
            </w:r>
          </w:p>
        </w:tc>
      </w:tr>
      <w:tr>
        <w:tc>
          <w:tcPr>
            <w:tcW w:type="dxa" w:w="9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1F4E79"/>
                <w:sz w:val="18"/>
                <w:szCs w:val="18"/>
              </w:rPr>
              <w:t xml:space="preserve">R1</w:t>
            </w:r>
          </w:p>
        </w:tc>
        <w:tc>
          <w:tcPr>
            <w:tcW w:type="dxa" w:w="59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val="false"/>
                <w:bCs w:val="false"/>
                <w:color w:val="222222"/>
                <w:sz w:val="18"/>
                <w:szCs w:val="18"/>
              </w:rPr>
              <w:t xml:space="preserve">Un punto fuera de ±3σ de la media</w:t>
            </w:r>
          </w:p>
        </w:tc>
        <w:tc>
          <w:tcPr>
            <w:tcW w:type="dxa" w:w="2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Causa especial inmediata</w:t>
            </w:r>
          </w:p>
        </w:tc>
      </w:tr>
      <w:tr>
        <w:tc>
          <w:tcPr>
            <w:tcW w:type="dxa" w:w="9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1F4E79"/>
                <w:sz w:val="18"/>
                <w:szCs w:val="18"/>
              </w:rPr>
              <w:t xml:space="preserve">R2</w:t>
            </w:r>
          </w:p>
        </w:tc>
        <w:tc>
          <w:tcPr>
            <w:tcW w:type="dxa" w:w="59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val="false"/>
                <w:bCs w:val="false"/>
                <w:color w:val="222222"/>
                <w:sz w:val="18"/>
                <w:szCs w:val="18"/>
              </w:rPr>
              <w:t xml:space="preserve">9 puntos consecutivos del mismo lado de la media</w:t>
            </w:r>
          </w:p>
        </w:tc>
        <w:tc>
          <w:tcPr>
            <w:tcW w:type="dxa" w:w="2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Deriva sistemática del proceso</w:t>
            </w:r>
          </w:p>
        </w:tc>
      </w:tr>
      <w:tr>
        <w:tc>
          <w:tcPr>
            <w:tcW w:type="dxa" w:w="9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1F4E79"/>
                <w:sz w:val="18"/>
                <w:szCs w:val="18"/>
              </w:rPr>
              <w:t xml:space="preserve">R3</w:t>
            </w:r>
          </w:p>
        </w:tc>
        <w:tc>
          <w:tcPr>
            <w:tcW w:type="dxa" w:w="59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val="false"/>
                <w:bCs w:val="false"/>
                <w:color w:val="222222"/>
                <w:sz w:val="18"/>
                <w:szCs w:val="18"/>
              </w:rPr>
              <w:t xml:space="preserve">6 puntos consecutivos en tendencia monótona</w:t>
            </w:r>
          </w:p>
        </w:tc>
        <w:tc>
          <w:tcPr>
            <w:tcW w:type="dxa" w:w="2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Tendencia sostenida</w:t>
            </w:r>
          </w:p>
        </w:tc>
      </w:tr>
      <w:tr>
        <w:tc>
          <w:tcPr>
            <w:tcW w:type="dxa" w:w="9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1F4E79"/>
                <w:sz w:val="18"/>
                <w:szCs w:val="18"/>
              </w:rPr>
              <w:t xml:space="preserve">R4</w:t>
            </w:r>
          </w:p>
        </w:tc>
        <w:tc>
          <w:tcPr>
            <w:tcW w:type="dxa" w:w="59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val="false"/>
                <w:bCs w:val="false"/>
                <w:color w:val="222222"/>
                <w:sz w:val="18"/>
                <w:szCs w:val="18"/>
              </w:rPr>
              <w:t xml:space="preserve">14 puntos alternando arriba/abajo</w:t>
            </w:r>
          </w:p>
        </w:tc>
        <w:tc>
          <w:tcPr>
            <w:tcW w:type="dxa" w:w="2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Variación artificial</w:t>
            </w:r>
          </w:p>
        </w:tc>
      </w:tr>
      <w:tr>
        <w:tc>
          <w:tcPr>
            <w:tcW w:type="dxa" w:w="9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1F4E79"/>
                <w:sz w:val="18"/>
                <w:szCs w:val="18"/>
              </w:rPr>
              <w:t xml:space="preserve">R6</w:t>
            </w:r>
          </w:p>
        </w:tc>
        <w:tc>
          <w:tcPr>
            <w:tcW w:type="dxa" w:w="59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val="false"/>
                <w:bCs w:val="false"/>
                <w:color w:val="222222"/>
                <w:sz w:val="18"/>
                <w:szCs w:val="18"/>
              </w:rPr>
              <w:t xml:space="preserve">4 de 5 puntos consecutivos a más de ±1σ del mismo lado</w:t>
            </w:r>
          </w:p>
        </w:tc>
        <w:tc>
          <w:tcPr>
            <w:tcW w:type="dxa" w:w="2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Desplazamiento de nivel</w:t>
            </w:r>
          </w:p>
        </w:tc>
      </w:tr>
    </w:tbl>
    <w:p>
      <w:r>
        <w:br w:type="page"/>
      </w:r>
    </w:p>
    <w:p>
      <w:pPr>
        <w:pStyle w:val="Heading1"/>
        <w:pBdr>
          <w:bottom w:val="single" w:color="2E75B6" w:sz="6" w:space="1"/>
        </w:pBdr>
        <w:spacing w:after="140" w:before="300"/>
      </w:pPr>
      <w:r>
        <w:rPr>
          <w:rFonts w:ascii="Arial" w:cs="Arial" w:eastAsia="Arial" w:hAnsi="Arial"/>
          <w:b/>
          <w:bCs/>
          <w:color w:val="1F4E79"/>
          <w:sz w:val="28"/>
          <w:szCs w:val="28"/>
        </w:rPr>
        <w:t xml:space="preserve">2. Análisis CPI global</w:t>
      </w:r>
    </w:p>
    <w:p>
      <w:pPr>
        <w:spacing w:after="100" w:before="80"/>
        <w:jc w:val="left"/>
      </w:pPr>
      <w:r>
        <w:rPr>
          <w:rFonts w:ascii="Arial" w:cs="Arial" w:eastAsia="Arial" w:hAnsi="Arial"/>
          <w:b w:val="false"/>
          <w:bCs w:val="false"/>
          <w:color w:val="333333"/>
          <w:sz w:val="22"/>
          <w:szCs w:val="22"/>
        </w:rPr>
        <w:t xml:space="preserve">El análisis global considera las 80 observaciones del período sin distinción de portafolio. El proceso global alcanza veredicto MARGINAL, con R6=2 activo. Este resultado es esperado dado que los tres portafolios operan en distintos rangos de CPI — la heterogeneidad entre ellos genera la señal R6 al ordenar las observaciones por Mes Relativo.</w:t>
      </w:r>
    </w:p>
    <w:p>
      <w:pPr>
        <w:pStyle w:val="Heading2"/>
        <w:spacing w:after="100" w:before="200"/>
      </w:pPr>
      <w:r>
        <w:rPr>
          <w:rFonts w:ascii="Arial" w:cs="Arial" w:eastAsia="Arial" w:hAnsi="Arial"/>
          <w:b/>
          <w:bCs/>
          <w:color w:val="1F4E79"/>
          <w:sz w:val="24"/>
          <w:szCs w:val="24"/>
        </w:rPr>
        <w:t xml:space="preserve">2.1 Estadísticos globales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50"/>
        <w:gridCol w:w="1450"/>
        <w:gridCol w:w="1450"/>
        <w:gridCol w:w="1450"/>
        <w:gridCol w:w="1300"/>
        <w:gridCol w:w="1150"/>
        <w:gridCol w:w="1260"/>
      </w:tblGrid>
      <w:tr>
        <w:tc>
          <w:tcPr>
            <w:tcW w:type="dxa" w:w="90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 obs</w:t>
            </w:r>
          </w:p>
        </w:tc>
        <w:tc>
          <w:tcPr>
            <w:tcW w:type="dxa" w:w="135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CL (Media)</w:t>
            </w:r>
          </w:p>
        </w:tc>
        <w:tc>
          <w:tcPr>
            <w:tcW w:type="dxa" w:w="145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UCL (+3σ)</w:t>
            </w:r>
          </w:p>
        </w:tc>
        <w:tc>
          <w:tcPr>
            <w:tcW w:type="dxa" w:w="145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LCL (−3σ)</w:t>
            </w:r>
          </w:p>
        </w:tc>
        <w:tc>
          <w:tcPr>
            <w:tcW w:type="dxa" w:w="145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σ</w:t>
            </w:r>
          </w:p>
        </w:tc>
        <w:tc>
          <w:tcPr>
            <w:tcW w:type="dxa" w:w="130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CV (%)</w:t>
            </w:r>
          </w:p>
        </w:tc>
        <w:tc>
          <w:tcPr>
            <w:tcW w:type="dxa" w:w="115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Mediana</w:t>
            </w:r>
          </w:p>
        </w:tc>
        <w:tc>
          <w:tcPr>
            <w:tcW w:type="dxa" w:w="126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Veredicto</w:t>
            </w:r>
          </w:p>
        </w:tc>
      </w:tr>
      <w:tr>
        <w:tc>
          <w:tcPr>
            <w:tcW w:type="dxa" w:w="9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80</w:t>
            </w:r>
          </w:p>
        </w:tc>
        <w:tc>
          <w:tcPr>
            <w:tcW w:type="dxa" w:w="13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222222"/>
                <w:sz w:val="18"/>
                <w:szCs w:val="18"/>
              </w:rPr>
              <w:t xml:space="preserve">1.9131</w:t>
            </w:r>
          </w:p>
        </w:tc>
        <w:tc>
          <w:tcPr>
            <w:tcW w:type="dxa" w:w="14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5.6562</w:t>
            </w:r>
          </w:p>
        </w:tc>
        <w:tc>
          <w:tcPr>
            <w:tcW w:type="dxa" w:w="14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−1.8300</w:t>
            </w:r>
          </w:p>
        </w:tc>
        <w:tc>
          <w:tcPr>
            <w:tcW w:type="dxa" w:w="14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1.2477</w:t>
            </w:r>
          </w:p>
        </w:tc>
        <w:tc>
          <w:tcPr>
            <w:tcW w:type="dxa" w:w="13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7D5A00"/>
                <w:sz w:val="18"/>
                <w:szCs w:val="18"/>
              </w:rPr>
              <w:t xml:space="preserve">65.2%</w:t>
            </w:r>
          </w:p>
        </w:tc>
        <w:tc>
          <w:tcPr>
            <w:tcW w:type="dxa" w:w="11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1.3527</w:t>
            </w:r>
          </w:p>
        </w:tc>
        <w:tc>
          <w:tcPr>
            <w:tcW w:type="dxa" w:w="12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856404"/>
                <w:sz w:val="18"/>
                <w:szCs w:val="18"/>
              </w:rPr>
              <w:t xml:space="preserve">MARGINAL</w:t>
            </w:r>
          </w:p>
        </w:tc>
      </w:tr>
    </w:tbl>
    <w:p>
      <w:pPr>
        <w:spacing w:after="60" w:before="60"/>
      </w:pPr>
      <w:r>
        <w:t xml:space="preserve"/>
      </w:r>
    </w:p>
    <w:p>
      <w:pPr>
        <w:pStyle w:val="Heading2"/>
        <w:spacing w:after="100" w:before="200"/>
      </w:pPr>
      <w:r>
        <w:rPr>
          <w:rFonts w:ascii="Arial" w:cs="Arial" w:eastAsia="Arial" w:hAnsi="Arial"/>
          <w:b/>
          <w:bCs/>
          <w:color w:val="1F4E79"/>
          <w:sz w:val="24"/>
          <w:szCs w:val="24"/>
        </w:rPr>
        <w:t xml:space="preserve">2.2 Reglas de Nelson — CPI global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R1</w:t>
            </w:r>
          </w:p>
        </w:tc>
        <w:tc>
          <w:tcPr>
            <w:tcW w:type="dxa" w:w="156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R2</w:t>
            </w:r>
          </w:p>
        </w:tc>
        <w:tc>
          <w:tcPr>
            <w:tcW w:type="dxa" w:w="156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R3</w:t>
            </w:r>
          </w:p>
        </w:tc>
        <w:tc>
          <w:tcPr>
            <w:tcW w:type="dxa" w:w="156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R4</w:t>
            </w:r>
          </w:p>
        </w:tc>
        <w:tc>
          <w:tcPr>
            <w:tcW w:type="dxa" w:w="156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R6</w:t>
            </w:r>
          </w:p>
        </w:tc>
        <w:tc>
          <w:tcPr>
            <w:tcW w:type="dxa" w:w="156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Reglas activas</w:t>
            </w:r>
          </w:p>
        </w:tc>
      </w:tr>
      <w:tr>
        <w:tc>
          <w:tcPr>
            <w:tcW w:type="dxa" w:w="15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0A3622"/>
                <w:sz w:val="18"/>
                <w:szCs w:val="18"/>
              </w:rPr>
              <w:t xml:space="preserve">0</w:t>
            </w:r>
          </w:p>
        </w:tc>
        <w:tc>
          <w:tcPr>
            <w:tcW w:type="dxa" w:w="15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0A3622"/>
                <w:sz w:val="18"/>
                <w:szCs w:val="18"/>
              </w:rPr>
              <w:t xml:space="preserve">0</w:t>
            </w:r>
          </w:p>
        </w:tc>
        <w:tc>
          <w:tcPr>
            <w:tcW w:type="dxa" w:w="15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0A3622"/>
                <w:sz w:val="18"/>
                <w:szCs w:val="18"/>
              </w:rPr>
              <w:t xml:space="preserve">0</w:t>
            </w:r>
          </w:p>
        </w:tc>
        <w:tc>
          <w:tcPr>
            <w:tcW w:type="dxa" w:w="15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0A3622"/>
                <w:sz w:val="18"/>
                <w:szCs w:val="18"/>
              </w:rPr>
              <w:t xml:space="preserve">0</w:t>
            </w:r>
          </w:p>
        </w:tc>
        <w:tc>
          <w:tcPr>
            <w:tcW w:type="dxa" w:w="15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7D5A00"/>
                <w:sz w:val="18"/>
                <w:szCs w:val="18"/>
              </w:rPr>
              <w:t xml:space="preserve">2</w:t>
            </w:r>
          </w:p>
        </w:tc>
        <w:tc>
          <w:tcPr>
            <w:tcW w:type="dxa" w:w="15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7D5A00"/>
                <w:sz w:val="18"/>
                <w:szCs w:val="18"/>
              </w:rPr>
              <w:t xml:space="preserve">R6</w:t>
            </w:r>
          </w:p>
        </w:tc>
      </w:tr>
    </w:tbl>
    <w:p>
      <w:pPr>
        <w:spacing w:after="60" w:before="60"/>
      </w:pPr>
      <w:r>
        <w:t xml:space="preserve"/>
      </w:r>
    </w:p>
    <w:p>
      <w:pPr>
        <w:pBdr>
          <w:left w:val="single" w:color="7D5A00" w:sz="16"/>
        </w:pBdr>
        <w:shd w:fill="FFF2CC" w:val="clear"/>
        <w:spacing w:after="120" w:before="120"/>
      </w:pPr>
      <w:r>
        <w:rPr>
          <w:rFonts w:ascii="Arial" w:cs="Arial" w:eastAsia="Arial" w:hAnsi="Arial"/>
          <w:b/>
          <w:bCs/>
          <w:color w:val="7D5A00"/>
          <w:sz w:val="22"/>
          <w:szCs w:val="22"/>
        </w:rPr>
        <w:t xml:space="preserve">  Interpretación R6=2 en el global: </w:t>
      </w:r>
      <w:r>
        <w:rPr>
          <w:rFonts w:ascii="Arial" w:cs="Arial" w:eastAsia="Arial" w:hAnsi="Arial"/>
          <w:color w:val="333333"/>
          <w:sz w:val="22"/>
          <w:szCs w:val="22"/>
        </w:rPr>
        <w:t xml:space="preserve">Al ordenar las 80 observaciones por Mes Relativo, los tres portafolios se intercalan. TI tiene CPI promedio de 2.24, DATOS Y SI de 1.83 y CONSULTORÍA de 1.13. Esta diferencia de niveles produce ventanas donde valores de portafolios distintos alternan entre niveles altos y bajos, ambos más allá de ±1σ de la media global. Es una señal de heterogeneidad estructural entre portafolios — no un problema operativo. Al analizarlos individualmente, los tres son CONTROLADO.</w:t>
      </w:r>
    </w:p>
    <w:p>
      <w:pPr>
        <w:spacing w:after="60" w:before="60"/>
      </w:pPr>
      <w:r>
        <w:t xml:space="preserve"/>
      </w:r>
    </w:p>
    <w:p>
      <w:pPr>
        <w:pStyle w:val="Heading2"/>
        <w:spacing w:after="100" w:before="200"/>
      </w:pPr>
      <w:r>
        <w:rPr>
          <w:rFonts w:ascii="Arial" w:cs="Arial" w:eastAsia="Arial" w:hAnsi="Arial"/>
          <w:b/>
          <w:bCs/>
          <w:color w:val="1F4E79"/>
          <w:sz w:val="24"/>
          <w:szCs w:val="24"/>
        </w:rPr>
        <w:t xml:space="preserve">2.3 Carta de control individual — CPI Global</w:t>
      </w:r>
    </w:p>
    <w:p>
      <w:pPr>
        <w:spacing w:after="60" w:before="10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66950"/>
                    </a:xfrm>
                    <a:prstGeom prst="rect">
                      <a:avLst/>
                    </a:prstGeom>
                  </pic:spPr>
                </pic:pic>
              </a:graphicData>
            </a:graphic>
          </wp:inline>
        </w:drawing>
      </w:r>
    </w:p>
    <w:p>
      <w:pPr>
        <w:spacing w:after="120" w:before="0"/>
        <w:jc w:val="center"/>
      </w:pPr>
      <w:r>
        <w:rPr>
          <w:rFonts w:ascii="Arial" w:cs="Arial" w:eastAsia="Arial" w:hAnsi="Arial"/>
          <w:color w:val="666666"/>
          <w:sz w:val="18"/>
          <w:szCs w:val="18"/>
        </w:rPr>
        <w:t xml:space="preserve">Figura 1. Carta de control CPI (techo 5.0) global — 80 observaciones ordenadas por Mes Relativo. Veredicto MARGINAL (R6=2).</w:t>
      </w:r>
    </w:p>
    <w:p>
      <w:pPr>
        <w:spacing w:after="60" w:before="60"/>
      </w:pPr>
      <w:r>
        <w:t xml:space="preserve"/>
      </w:r>
    </w:p>
    <w:p>
      <w:pPr>
        <w:pStyle w:val="Heading2"/>
        <w:spacing w:after="100" w:before="200"/>
      </w:pPr>
      <w:r>
        <w:rPr>
          <w:rFonts w:ascii="Arial" w:cs="Arial" w:eastAsia="Arial" w:hAnsi="Arial"/>
          <w:b/>
          <w:bCs/>
          <w:color w:val="1F4E79"/>
          <w:sz w:val="24"/>
          <w:szCs w:val="24"/>
        </w:rPr>
        <w:t xml:space="preserve">2.4 CPI por fase de ejecución (deciles de Mes Relativo)</w:t>
      </w:r>
    </w:p>
    <w:p>
      <w:pPr>
        <w:spacing w:after="100" w:before="80"/>
        <w:jc w:val="left"/>
      </w:pPr>
      <w:r>
        <w:rPr>
          <w:rFonts w:ascii="Arial" w:cs="Arial" w:eastAsia="Arial" w:hAnsi="Arial"/>
          <w:b w:val="false"/>
          <w:bCs w:val="false"/>
          <w:color w:val="333333"/>
          <w:sz w:val="22"/>
          <w:szCs w:val="22"/>
        </w:rPr>
        <w:t xml:space="preserve">La siguiente tabla muestra los parámetros de la línea base para cada decil del ciclo de vida del proyecto. El CV disminuye en fases avanzadas a medida que los proyectos convergen hacia su perfil de costo definitivo.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1500"/>
        <w:gridCol w:w="1600"/>
        <w:gridCol w:w="1600"/>
        <w:gridCol w:w="1500"/>
        <w:gridCol w:w="1060"/>
      </w:tblGrid>
      <w:tr>
        <w:tc>
          <w:tcPr>
            <w:tcW w:type="dxa" w:w="140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Fase</w:t>
            </w:r>
          </w:p>
        </w:tc>
        <w:tc>
          <w:tcPr>
            <w:tcW w:type="dxa" w:w="70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w:t>
            </w:r>
          </w:p>
        </w:tc>
        <w:tc>
          <w:tcPr>
            <w:tcW w:type="dxa" w:w="150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CL</w:t>
            </w:r>
          </w:p>
        </w:tc>
        <w:tc>
          <w:tcPr>
            <w:tcW w:type="dxa" w:w="160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UCL (+3σ)</w:t>
            </w:r>
          </w:p>
        </w:tc>
        <w:tc>
          <w:tcPr>
            <w:tcW w:type="dxa" w:w="160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LCL (−3σ)</w:t>
            </w:r>
          </w:p>
        </w:tc>
        <w:tc>
          <w:tcPr>
            <w:tcW w:type="dxa" w:w="150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σ</w:t>
            </w:r>
          </w:p>
        </w:tc>
        <w:tc>
          <w:tcPr>
            <w:tcW w:type="dxa" w:w="106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CV (%)</w:t>
            </w:r>
          </w:p>
        </w:tc>
      </w:tr>
      <w:tr>
        <w:tc>
          <w:tcPr>
            <w:tcW w:type="dxa" w:w="14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1F4E79"/>
                <w:sz w:val="18"/>
                <w:szCs w:val="18"/>
              </w:rPr>
              <w:t xml:space="preserve">0–10%</w:t>
            </w:r>
          </w:p>
        </w:tc>
        <w:tc>
          <w:tcPr>
            <w:tcW w:type="dxa" w:w="7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3</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222222"/>
                <w:sz w:val="18"/>
                <w:szCs w:val="18"/>
              </w:rPr>
              <w:t xml:space="preserve">2.287</w:t>
            </w:r>
          </w:p>
        </w:tc>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9.338</w:t>
            </w:r>
          </w:p>
        </w:tc>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−4.763</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2.350</w:t>
            </w:r>
          </w:p>
        </w:tc>
        <w:tc>
          <w:tcPr>
            <w:tcW w:type="dxa" w:w="10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7D5A00"/>
                <w:sz w:val="18"/>
                <w:szCs w:val="18"/>
              </w:rPr>
              <w:t xml:space="preserve">102.8%</w:t>
            </w:r>
          </w:p>
        </w:tc>
      </w:tr>
      <w:tr>
        <w:tc>
          <w:tcPr>
            <w:tcW w:type="dxa" w:w="14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1F4E79"/>
                <w:sz w:val="18"/>
                <w:szCs w:val="18"/>
              </w:rPr>
              <w:t xml:space="preserve">10–20%</w:t>
            </w:r>
          </w:p>
        </w:tc>
        <w:tc>
          <w:tcPr>
            <w:tcW w:type="dxa" w:w="7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1</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222222"/>
                <w:sz w:val="18"/>
                <w:szCs w:val="18"/>
              </w:rPr>
              <w:t xml:space="preserve">3.364</w:t>
            </w:r>
          </w:p>
        </w:tc>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w:t>
            </w:r>
          </w:p>
        </w:tc>
        <w:tc>
          <w:tcPr>
            <w:tcW w:type="dxa" w:w="10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1F4E79"/>
                <w:sz w:val="18"/>
                <w:szCs w:val="18"/>
              </w:rPr>
              <w:t xml:space="preserve">20–30%</w:t>
            </w:r>
          </w:p>
        </w:tc>
        <w:tc>
          <w:tcPr>
            <w:tcW w:type="dxa" w:w="7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222222"/>
                <w:sz w:val="18"/>
                <w:szCs w:val="18"/>
              </w:rPr>
              <w:t xml:space="preserve">2.192</w:t>
            </w:r>
          </w:p>
        </w:tc>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7.775</w:t>
            </w:r>
          </w:p>
        </w:tc>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−3.392</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1.861</w:t>
            </w:r>
          </w:p>
        </w:tc>
        <w:tc>
          <w:tcPr>
            <w:tcW w:type="dxa" w:w="10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7D5A00"/>
                <w:sz w:val="18"/>
                <w:szCs w:val="18"/>
              </w:rPr>
              <w:t xml:space="preserve">84.9%</w:t>
            </w:r>
          </w:p>
        </w:tc>
      </w:tr>
      <w:tr>
        <w:tc>
          <w:tcPr>
            <w:tcW w:type="dxa" w:w="14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1F4E79"/>
                <w:sz w:val="18"/>
                <w:szCs w:val="18"/>
              </w:rPr>
              <w:t xml:space="preserve">30–40%</w:t>
            </w:r>
          </w:p>
        </w:tc>
        <w:tc>
          <w:tcPr>
            <w:tcW w:type="dxa" w:w="7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5</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222222"/>
                <w:sz w:val="18"/>
                <w:szCs w:val="18"/>
              </w:rPr>
              <w:t xml:space="preserve">2.937</w:t>
            </w:r>
          </w:p>
        </w:tc>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6.976</w:t>
            </w:r>
          </w:p>
        </w:tc>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−1.102</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1.346</w:t>
            </w:r>
          </w:p>
        </w:tc>
        <w:tc>
          <w:tcPr>
            <w:tcW w:type="dxa" w:w="10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45.8%</w:t>
            </w:r>
          </w:p>
        </w:tc>
      </w:tr>
      <w:tr>
        <w:tc>
          <w:tcPr>
            <w:tcW w:type="dxa" w:w="14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1F4E79"/>
                <w:sz w:val="18"/>
                <w:szCs w:val="18"/>
              </w:rPr>
              <w:t xml:space="preserve">40–50%</w:t>
            </w:r>
          </w:p>
        </w:tc>
        <w:tc>
          <w:tcPr>
            <w:tcW w:type="dxa" w:w="7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222222"/>
                <w:sz w:val="18"/>
                <w:szCs w:val="18"/>
              </w:rPr>
              <w:t xml:space="preserve">1.755</w:t>
            </w:r>
          </w:p>
        </w:tc>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6.163</w:t>
            </w:r>
          </w:p>
        </w:tc>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−2.653</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1.469</w:t>
            </w:r>
          </w:p>
        </w:tc>
        <w:tc>
          <w:tcPr>
            <w:tcW w:type="dxa" w:w="10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7D5A00"/>
                <w:sz w:val="18"/>
                <w:szCs w:val="18"/>
              </w:rPr>
              <w:t xml:space="preserve">83.7%</w:t>
            </w:r>
          </w:p>
        </w:tc>
      </w:tr>
      <w:tr>
        <w:tc>
          <w:tcPr>
            <w:tcW w:type="dxa" w:w="14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1F4E79"/>
                <w:sz w:val="18"/>
                <w:szCs w:val="18"/>
              </w:rPr>
              <w:t xml:space="preserve">50–60%</w:t>
            </w:r>
          </w:p>
        </w:tc>
        <w:tc>
          <w:tcPr>
            <w:tcW w:type="dxa" w:w="7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7</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222222"/>
                <w:sz w:val="18"/>
                <w:szCs w:val="18"/>
              </w:rPr>
              <w:t xml:space="preserve">2.626</w:t>
            </w:r>
          </w:p>
        </w:tc>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6.254</w:t>
            </w:r>
          </w:p>
        </w:tc>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−1.003</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1.209</w:t>
            </w:r>
          </w:p>
        </w:tc>
        <w:tc>
          <w:tcPr>
            <w:tcW w:type="dxa" w:w="10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46.1%</w:t>
            </w:r>
          </w:p>
        </w:tc>
      </w:tr>
      <w:tr>
        <w:tc>
          <w:tcPr>
            <w:tcW w:type="dxa" w:w="14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1F4E79"/>
                <w:sz w:val="18"/>
                <w:szCs w:val="18"/>
              </w:rPr>
              <w:t xml:space="preserve">60–70%</w:t>
            </w:r>
          </w:p>
        </w:tc>
        <w:tc>
          <w:tcPr>
            <w:tcW w:type="dxa" w:w="7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222222"/>
                <w:sz w:val="18"/>
                <w:szCs w:val="18"/>
              </w:rPr>
              <w:t xml:space="preserve">1.960</w:t>
            </w:r>
          </w:p>
        </w:tc>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6.105</w:t>
            </w:r>
          </w:p>
        </w:tc>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−2.184</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1.382</w:t>
            </w:r>
          </w:p>
        </w:tc>
        <w:tc>
          <w:tcPr>
            <w:tcW w:type="dxa" w:w="10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70.5%</w:t>
            </w:r>
          </w:p>
        </w:tc>
      </w:tr>
      <w:tr>
        <w:tc>
          <w:tcPr>
            <w:tcW w:type="dxa" w:w="14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1F4E79"/>
                <w:sz w:val="18"/>
                <w:szCs w:val="18"/>
              </w:rPr>
              <w:t xml:space="preserve">70–80%</w:t>
            </w:r>
          </w:p>
        </w:tc>
        <w:tc>
          <w:tcPr>
            <w:tcW w:type="dxa" w:w="7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7</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222222"/>
                <w:sz w:val="18"/>
                <w:szCs w:val="18"/>
              </w:rPr>
              <w:t xml:space="preserve">1.628</w:t>
            </w:r>
          </w:p>
        </w:tc>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4.972</w:t>
            </w:r>
          </w:p>
        </w:tc>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−1.716</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1.115</w:t>
            </w:r>
          </w:p>
        </w:tc>
        <w:tc>
          <w:tcPr>
            <w:tcW w:type="dxa" w:w="10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68.5%</w:t>
            </w:r>
          </w:p>
        </w:tc>
      </w:tr>
      <w:tr>
        <w:tc>
          <w:tcPr>
            <w:tcW w:type="dxa" w:w="14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1F4E79"/>
                <w:sz w:val="18"/>
                <w:szCs w:val="18"/>
              </w:rPr>
              <w:t xml:space="preserve">80–90%</w:t>
            </w:r>
          </w:p>
        </w:tc>
        <w:tc>
          <w:tcPr>
            <w:tcW w:type="dxa" w:w="7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222222"/>
                <w:sz w:val="18"/>
                <w:szCs w:val="18"/>
              </w:rPr>
              <w:t xml:space="preserve">1.824</w:t>
            </w:r>
          </w:p>
        </w:tc>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5.433</w:t>
            </w:r>
          </w:p>
        </w:tc>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−1.784</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1.203</w:t>
            </w:r>
          </w:p>
        </w:tc>
        <w:tc>
          <w:tcPr>
            <w:tcW w:type="dxa" w:w="10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65.9%</w:t>
            </w:r>
          </w:p>
        </w:tc>
      </w:tr>
      <w:tr>
        <w:tc>
          <w:tcPr>
            <w:tcW w:type="dxa" w:w="14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1F4E79"/>
                <w:sz w:val="18"/>
                <w:szCs w:val="18"/>
              </w:rPr>
              <w:t xml:space="preserve">90–100%</w:t>
            </w:r>
          </w:p>
        </w:tc>
        <w:tc>
          <w:tcPr>
            <w:tcW w:type="dxa" w:w="7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19</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222222"/>
                <w:sz w:val="18"/>
                <w:szCs w:val="18"/>
              </w:rPr>
              <w:t xml:space="preserve">1.600</w:t>
            </w:r>
          </w:p>
        </w:tc>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4.261</w:t>
            </w:r>
          </w:p>
        </w:tc>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−1.061</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0.887</w:t>
            </w:r>
          </w:p>
        </w:tc>
        <w:tc>
          <w:tcPr>
            <w:tcW w:type="dxa" w:w="10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55.4%</w:t>
            </w:r>
          </w:p>
        </w:tc>
      </w:tr>
    </w:tbl>
    <w:p>
      <w:pPr>
        <w:spacing w:after="60" w:before="60"/>
      </w:pPr>
      <w:r>
        <w:t xml:space="preserve"/>
      </w:r>
    </w:p>
    <w:p>
      <w:pPr>
        <w:spacing w:after="80" w:before="80"/>
        <w:jc w:val="left"/>
      </w:pPr>
      <w:r>
        <w:rPr>
          <w:rFonts w:ascii="Arial" w:cs="Arial" w:eastAsia="Arial" w:hAnsi="Arial"/>
          <w:b w:val="false"/>
          <w:bCs w:val="false"/>
          <w:color w:val="555555"/>
          <w:sz w:val="22"/>
          <w:szCs w:val="22"/>
        </w:rPr>
        <w:t xml:space="preserve">El alto CV en fases 0–30% refleja la coexistencia de proyectos con CPI cercano a 1.0 y proyectos con CPI aún elevado en etapas iniciales. En la fase 90–100% el CV cae a 55.4%, coherente con la convergencia hacia el perfil definitivo de costo de cada proyecto.</w:t>
      </w:r>
    </w:p>
    <w:p>
      <w:r>
        <w:br w:type="page"/>
      </w:r>
    </w:p>
    <w:p>
      <w:pPr>
        <w:pStyle w:val="Heading1"/>
        <w:pBdr>
          <w:bottom w:val="single" w:color="2E75B6" w:sz="6" w:space="1"/>
        </w:pBdr>
        <w:spacing w:after="140" w:before="300"/>
      </w:pPr>
      <w:r>
        <w:rPr>
          <w:rFonts w:ascii="Arial" w:cs="Arial" w:eastAsia="Arial" w:hAnsi="Arial"/>
          <w:b/>
          <w:bCs/>
          <w:color w:val="1F4E79"/>
          <w:sz w:val="28"/>
          <w:szCs w:val="28"/>
        </w:rPr>
        <w:t xml:space="preserve">3. Análisis CPI por portafolio</w:t>
      </w:r>
    </w:p>
    <w:p>
      <w:pPr>
        <w:spacing w:after="100" w:before="80"/>
        <w:jc w:val="left"/>
      </w:pPr>
      <w:r>
        <w:rPr>
          <w:rFonts w:ascii="Arial" w:cs="Arial" w:eastAsia="Arial" w:hAnsi="Arial"/>
          <w:b w:val="false"/>
          <w:bCs w:val="false"/>
          <w:color w:val="333333"/>
          <w:sz w:val="22"/>
          <w:szCs w:val="22"/>
        </w:rPr>
        <w:t xml:space="preserve">Los tres portafolios alcanzan veredicto CONTROLADO en el CPI. Ninguno presenta reglas de Nelson activas, lo que indica que la variabilidad del costo en cada portafolio opera dentro de rangos predecibles sin causas especiales detectables.</w:t>
      </w:r>
    </w:p>
    <w:p>
      <w:pPr>
        <w:pStyle w:val="Heading2"/>
        <w:spacing w:after="100" w:before="200"/>
      </w:pPr>
      <w:r>
        <w:rPr>
          <w:rFonts w:ascii="Arial" w:cs="Arial" w:eastAsia="Arial" w:hAnsi="Arial"/>
          <w:b/>
          <w:bCs/>
          <w:color w:val="1F4E79"/>
          <w:sz w:val="24"/>
          <w:szCs w:val="24"/>
        </w:rPr>
        <w:t xml:space="preserve">3.1 Cuadro comparativo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1250"/>
        <w:gridCol w:w="1350"/>
        <w:gridCol w:w="1350"/>
        <w:gridCol w:w="1000"/>
        <w:gridCol w:w="850"/>
        <w:gridCol w:w="1260"/>
      </w:tblGrid>
      <w:tr>
        <w:tc>
          <w:tcPr>
            <w:tcW w:type="dxa" w:w="260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Portafolio</w:t>
            </w:r>
          </w:p>
        </w:tc>
        <w:tc>
          <w:tcPr>
            <w:tcW w:type="dxa" w:w="70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w:t>
            </w:r>
          </w:p>
        </w:tc>
        <w:tc>
          <w:tcPr>
            <w:tcW w:type="dxa" w:w="125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CL</w:t>
            </w:r>
          </w:p>
        </w:tc>
        <w:tc>
          <w:tcPr>
            <w:tcW w:type="dxa" w:w="135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UCL (+3σ)</w:t>
            </w:r>
          </w:p>
        </w:tc>
        <w:tc>
          <w:tcPr>
            <w:tcW w:type="dxa" w:w="135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LCL (−3σ)</w:t>
            </w:r>
          </w:p>
        </w:tc>
        <w:tc>
          <w:tcPr>
            <w:tcW w:type="dxa" w:w="100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σ</w:t>
            </w:r>
          </w:p>
        </w:tc>
        <w:tc>
          <w:tcPr>
            <w:tcW w:type="dxa" w:w="85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CV%</w:t>
            </w:r>
          </w:p>
        </w:tc>
        <w:tc>
          <w:tcPr>
            <w:tcW w:type="dxa" w:w="126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Veredicto</w:t>
            </w:r>
          </w:p>
        </w:tc>
      </w:tr>
      <w:tr>
        <w:tc>
          <w:tcPr>
            <w:tcW w:type="dxa" w:w="2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bCs/>
                <w:color w:val="534AB7"/>
                <w:sz w:val="18"/>
                <w:szCs w:val="18"/>
              </w:rPr>
              <w:t xml:space="preserve">CONSULTORÍA</w:t>
            </w:r>
          </w:p>
        </w:tc>
        <w:tc>
          <w:tcPr>
            <w:tcW w:type="dxa" w:w="7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10</w:t>
            </w:r>
          </w:p>
        </w:tc>
        <w:tc>
          <w:tcPr>
            <w:tcW w:type="dxa" w:w="12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222222"/>
                <w:sz w:val="18"/>
                <w:szCs w:val="18"/>
              </w:rPr>
              <w:t xml:space="preserve">1.133</w:t>
            </w:r>
          </w:p>
        </w:tc>
        <w:tc>
          <w:tcPr>
            <w:tcW w:type="dxa" w:w="13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1.739</w:t>
            </w:r>
          </w:p>
        </w:tc>
        <w:tc>
          <w:tcPr>
            <w:tcW w:type="dxa" w:w="13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0.527</w:t>
            </w:r>
          </w:p>
        </w:tc>
        <w:tc>
          <w:tcPr>
            <w:tcW w:type="dxa" w:w="1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0.202</w:t>
            </w:r>
          </w:p>
        </w:tc>
        <w:tc>
          <w:tcPr>
            <w:tcW w:type="dxa" w:w="8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17.8%</w:t>
            </w:r>
          </w:p>
        </w:tc>
        <w:tc>
          <w:tcPr>
            <w:tcW w:type="dxa" w:w="12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0A3622"/>
                <w:sz w:val="18"/>
                <w:szCs w:val="18"/>
              </w:rPr>
              <w:t xml:space="preserve">CONTROLADO</w:t>
            </w:r>
          </w:p>
        </w:tc>
      </w:tr>
      <w:tr>
        <w:tc>
          <w:tcPr>
            <w:tcW w:type="dxa" w:w="2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bCs/>
                <w:color w:val="1F4E79"/>
                <w:sz w:val="18"/>
                <w:szCs w:val="18"/>
              </w:rPr>
              <w:t xml:space="preserve">DATOS Y SISTEMAS DE INFORMACIÓN</w:t>
            </w:r>
          </w:p>
        </w:tc>
        <w:tc>
          <w:tcPr>
            <w:tcW w:type="dxa" w:w="7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37</w:t>
            </w:r>
          </w:p>
        </w:tc>
        <w:tc>
          <w:tcPr>
            <w:tcW w:type="dxa" w:w="12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222222"/>
                <w:sz w:val="18"/>
                <w:szCs w:val="18"/>
              </w:rPr>
              <w:t xml:space="preserve">1.829</w:t>
            </w:r>
          </w:p>
        </w:tc>
        <w:tc>
          <w:tcPr>
            <w:tcW w:type="dxa" w:w="13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4.434</w:t>
            </w:r>
          </w:p>
        </w:tc>
        <w:tc>
          <w:tcPr>
            <w:tcW w:type="dxa" w:w="13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−0.776</w:t>
            </w:r>
          </w:p>
        </w:tc>
        <w:tc>
          <w:tcPr>
            <w:tcW w:type="dxa" w:w="1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0.868</w:t>
            </w:r>
          </w:p>
        </w:tc>
        <w:tc>
          <w:tcPr>
            <w:tcW w:type="dxa" w:w="8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47.5%</w:t>
            </w:r>
          </w:p>
        </w:tc>
        <w:tc>
          <w:tcPr>
            <w:tcW w:type="dxa" w:w="12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0A3622"/>
                <w:sz w:val="18"/>
                <w:szCs w:val="18"/>
              </w:rPr>
              <w:t xml:space="preserve">CONTROLADO</w:t>
            </w:r>
          </w:p>
        </w:tc>
      </w:tr>
      <w:tr>
        <w:tc>
          <w:tcPr>
            <w:tcW w:type="dxa" w:w="2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bCs/>
                <w:color w:val="375623"/>
                <w:sz w:val="18"/>
                <w:szCs w:val="18"/>
              </w:rPr>
              <w:t xml:space="preserve">TI</w:t>
            </w:r>
          </w:p>
        </w:tc>
        <w:tc>
          <w:tcPr>
            <w:tcW w:type="dxa" w:w="7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33</w:t>
            </w:r>
          </w:p>
        </w:tc>
        <w:tc>
          <w:tcPr>
            <w:tcW w:type="dxa" w:w="12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222222"/>
                <w:sz w:val="18"/>
                <w:szCs w:val="18"/>
              </w:rPr>
              <w:t xml:space="preserve">2.244</w:t>
            </w:r>
          </w:p>
        </w:tc>
        <w:tc>
          <w:tcPr>
            <w:tcW w:type="dxa" w:w="13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7.095</w:t>
            </w:r>
          </w:p>
        </w:tc>
        <w:tc>
          <w:tcPr>
            <w:tcW w:type="dxa" w:w="13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−2.606</w:t>
            </w:r>
          </w:p>
        </w:tc>
        <w:tc>
          <w:tcPr>
            <w:tcW w:type="dxa" w:w="10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1.617</w:t>
            </w:r>
          </w:p>
        </w:tc>
        <w:tc>
          <w:tcPr>
            <w:tcW w:type="dxa" w:w="8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222222"/>
                <w:sz w:val="18"/>
                <w:szCs w:val="18"/>
              </w:rPr>
              <w:t xml:space="preserve">72.1%</w:t>
            </w:r>
          </w:p>
        </w:tc>
        <w:tc>
          <w:tcPr>
            <w:tcW w:type="dxa" w:w="12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0A3622"/>
                <w:sz w:val="18"/>
                <w:szCs w:val="18"/>
              </w:rPr>
              <w:t xml:space="preserve">CONTROLADO</w:t>
            </w:r>
          </w:p>
        </w:tc>
      </w:tr>
    </w:tbl>
    <w:p>
      <w:pPr>
        <w:spacing w:after="60" w:before="60"/>
      </w:pPr>
      <w:r>
        <w:t xml:space="preserve"/>
      </w:r>
    </w:p>
    <w:p>
      <w:pPr>
        <w:pStyle w:val="Heading2"/>
        <w:spacing w:after="100" w:before="200"/>
      </w:pPr>
      <w:r>
        <w:rPr>
          <w:rFonts w:ascii="Arial" w:cs="Arial" w:eastAsia="Arial" w:hAnsi="Arial"/>
          <w:b/>
          <w:bCs/>
          <w:color w:val="1F4E79"/>
          <w:sz w:val="24"/>
          <w:szCs w:val="24"/>
        </w:rPr>
        <w:t xml:space="preserve">3.2 Reglas de Nelson por portafolio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50"/>
        <w:gridCol w:w="950"/>
        <w:gridCol w:w="950"/>
        <w:gridCol w:w="950"/>
        <w:gridCol w:w="950"/>
        <w:gridCol w:w="1260"/>
      </w:tblGrid>
      <w:tr>
        <w:tc>
          <w:tcPr>
            <w:tcW w:type="dxa" w:w="260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Portafolio</w:t>
            </w:r>
          </w:p>
        </w:tc>
        <w:tc>
          <w:tcPr>
            <w:tcW w:type="dxa" w:w="95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R1</w:t>
            </w:r>
          </w:p>
        </w:tc>
        <w:tc>
          <w:tcPr>
            <w:tcW w:type="dxa" w:w="95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R2</w:t>
            </w:r>
          </w:p>
        </w:tc>
        <w:tc>
          <w:tcPr>
            <w:tcW w:type="dxa" w:w="95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R3</w:t>
            </w:r>
          </w:p>
        </w:tc>
        <w:tc>
          <w:tcPr>
            <w:tcW w:type="dxa" w:w="95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R4</w:t>
            </w:r>
          </w:p>
        </w:tc>
        <w:tc>
          <w:tcPr>
            <w:tcW w:type="dxa" w:w="95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R6</w:t>
            </w:r>
          </w:p>
        </w:tc>
        <w:tc>
          <w:tcPr>
            <w:tcW w:type="dxa" w:w="126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Veredicto</w:t>
            </w:r>
          </w:p>
        </w:tc>
      </w:tr>
      <w:tr>
        <w:tc>
          <w:tcPr>
            <w:tcW w:type="dxa" w:w="2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bCs/>
                <w:color w:val="534AB7"/>
                <w:sz w:val="18"/>
                <w:szCs w:val="18"/>
              </w:rPr>
              <w:t xml:space="preserve">CONSULTORÍA</w:t>
            </w:r>
          </w:p>
        </w:tc>
        <w:tc>
          <w:tcPr>
            <w:tcW w:type="dxa" w:w="9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0A3622"/>
                <w:sz w:val="18"/>
                <w:szCs w:val="18"/>
              </w:rPr>
              <w:t xml:space="preserve">0</w:t>
            </w:r>
          </w:p>
        </w:tc>
        <w:tc>
          <w:tcPr>
            <w:tcW w:type="dxa" w:w="9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0A3622"/>
                <w:sz w:val="18"/>
                <w:szCs w:val="18"/>
              </w:rPr>
              <w:t xml:space="preserve">0</w:t>
            </w:r>
          </w:p>
        </w:tc>
        <w:tc>
          <w:tcPr>
            <w:tcW w:type="dxa" w:w="9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0A3622"/>
                <w:sz w:val="18"/>
                <w:szCs w:val="18"/>
              </w:rPr>
              <w:t xml:space="preserve">0</w:t>
            </w:r>
          </w:p>
        </w:tc>
        <w:tc>
          <w:tcPr>
            <w:tcW w:type="dxa" w:w="9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0A3622"/>
                <w:sz w:val="18"/>
                <w:szCs w:val="18"/>
              </w:rPr>
              <w:t xml:space="preserve">0</w:t>
            </w:r>
          </w:p>
        </w:tc>
        <w:tc>
          <w:tcPr>
            <w:tcW w:type="dxa" w:w="9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0A3622"/>
                <w:sz w:val="18"/>
                <w:szCs w:val="18"/>
              </w:rPr>
              <w:t xml:space="preserve">0</w:t>
            </w:r>
          </w:p>
        </w:tc>
        <w:tc>
          <w:tcPr>
            <w:tcW w:type="dxa" w:w="12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0A3622"/>
                <w:sz w:val="18"/>
                <w:szCs w:val="18"/>
              </w:rPr>
              <w:t xml:space="preserve">CONTROLADO</w:t>
            </w:r>
          </w:p>
        </w:tc>
      </w:tr>
      <w:tr>
        <w:tc>
          <w:tcPr>
            <w:tcW w:type="dxa" w:w="2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bCs/>
                <w:color w:val="1F4E79"/>
                <w:sz w:val="18"/>
                <w:szCs w:val="18"/>
              </w:rPr>
              <w:t xml:space="preserve">DATOS Y SISTEMAS DE INFORMACIÓN</w:t>
            </w:r>
          </w:p>
        </w:tc>
        <w:tc>
          <w:tcPr>
            <w:tcW w:type="dxa" w:w="9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0A3622"/>
                <w:sz w:val="18"/>
                <w:szCs w:val="18"/>
              </w:rPr>
              <w:t xml:space="preserve">0</w:t>
            </w:r>
          </w:p>
        </w:tc>
        <w:tc>
          <w:tcPr>
            <w:tcW w:type="dxa" w:w="9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0A3622"/>
                <w:sz w:val="18"/>
                <w:szCs w:val="18"/>
              </w:rPr>
              <w:t xml:space="preserve">0</w:t>
            </w:r>
          </w:p>
        </w:tc>
        <w:tc>
          <w:tcPr>
            <w:tcW w:type="dxa" w:w="9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0A3622"/>
                <w:sz w:val="18"/>
                <w:szCs w:val="18"/>
              </w:rPr>
              <w:t xml:space="preserve">0</w:t>
            </w:r>
          </w:p>
        </w:tc>
        <w:tc>
          <w:tcPr>
            <w:tcW w:type="dxa" w:w="9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0A3622"/>
                <w:sz w:val="18"/>
                <w:szCs w:val="18"/>
              </w:rPr>
              <w:t xml:space="preserve">0</w:t>
            </w:r>
          </w:p>
        </w:tc>
        <w:tc>
          <w:tcPr>
            <w:tcW w:type="dxa" w:w="9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0A3622"/>
                <w:sz w:val="18"/>
                <w:szCs w:val="18"/>
              </w:rPr>
              <w:t xml:space="preserve">0</w:t>
            </w:r>
          </w:p>
        </w:tc>
        <w:tc>
          <w:tcPr>
            <w:tcW w:type="dxa" w:w="12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0A3622"/>
                <w:sz w:val="18"/>
                <w:szCs w:val="18"/>
              </w:rPr>
              <w:t xml:space="preserve">CONTROLADO</w:t>
            </w:r>
          </w:p>
        </w:tc>
      </w:tr>
      <w:tr>
        <w:tc>
          <w:tcPr>
            <w:tcW w:type="dxa" w:w="2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bCs/>
                <w:color w:val="375623"/>
                <w:sz w:val="18"/>
                <w:szCs w:val="18"/>
              </w:rPr>
              <w:t xml:space="preserve">TI</w:t>
            </w:r>
          </w:p>
        </w:tc>
        <w:tc>
          <w:tcPr>
            <w:tcW w:type="dxa" w:w="9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0A3622"/>
                <w:sz w:val="18"/>
                <w:szCs w:val="18"/>
              </w:rPr>
              <w:t xml:space="preserve">0</w:t>
            </w:r>
          </w:p>
        </w:tc>
        <w:tc>
          <w:tcPr>
            <w:tcW w:type="dxa" w:w="9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0A3622"/>
                <w:sz w:val="18"/>
                <w:szCs w:val="18"/>
              </w:rPr>
              <w:t xml:space="preserve">0</w:t>
            </w:r>
          </w:p>
        </w:tc>
        <w:tc>
          <w:tcPr>
            <w:tcW w:type="dxa" w:w="9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0A3622"/>
                <w:sz w:val="18"/>
                <w:szCs w:val="18"/>
              </w:rPr>
              <w:t xml:space="preserve">0</w:t>
            </w:r>
          </w:p>
        </w:tc>
        <w:tc>
          <w:tcPr>
            <w:tcW w:type="dxa" w:w="9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0A3622"/>
                <w:sz w:val="18"/>
                <w:szCs w:val="18"/>
              </w:rPr>
              <w:t xml:space="preserve">0</w:t>
            </w:r>
          </w:p>
        </w:tc>
        <w:tc>
          <w:tcPr>
            <w:tcW w:type="dxa" w:w="95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val="false"/>
                <w:bCs w:val="false"/>
                <w:color w:val="0A3622"/>
                <w:sz w:val="18"/>
                <w:szCs w:val="18"/>
              </w:rPr>
              <w:t xml:space="preserve">0</w:t>
            </w:r>
          </w:p>
        </w:tc>
        <w:tc>
          <w:tcPr>
            <w:tcW w:type="dxa" w:w="12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0A3622"/>
                <w:sz w:val="18"/>
                <w:szCs w:val="18"/>
              </w:rPr>
              <w:t xml:space="preserve">CONTROLADO</w:t>
            </w:r>
          </w:p>
        </w:tc>
      </w:tr>
    </w:tbl>
    <w:p>
      <w:pPr>
        <w:spacing w:after="60" w:before="60"/>
      </w:pPr>
      <w:r>
        <w:t xml:space="preserve"/>
      </w:r>
    </w:p>
    <w:p>
      <w:pPr>
        <w:pStyle w:val="Heading2"/>
        <w:spacing w:after="100" w:before="200"/>
      </w:pPr>
      <w:r>
        <w:rPr>
          <w:rFonts w:ascii="Arial" w:cs="Arial" w:eastAsia="Arial" w:hAnsi="Arial"/>
          <w:b/>
          <w:bCs/>
          <w:color w:val="1F4E79"/>
          <w:sz w:val="24"/>
          <w:szCs w:val="24"/>
        </w:rPr>
        <w:t xml:space="preserve">3.3 Cartas de control CPI por portafolio</w:t>
      </w:r>
    </w:p>
    <w:p>
      <w:pPr>
        <w:spacing w:after="60" w:before="100"/>
        <w:jc w:val="center"/>
      </w:pPr>
      <w:r>
        <w:drawing>
          <wp:inline distT="0" distB="0" distL="0" distR="0">
            <wp:extent cx="5905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114550"/>
                    </a:xfrm>
                    <a:prstGeom prst="rect">
                      <a:avLst/>
                    </a:prstGeom>
                  </pic:spPr>
                </pic:pic>
              </a:graphicData>
            </a:graphic>
          </wp:inline>
        </w:drawing>
      </w:r>
    </w:p>
    <w:p>
      <w:pPr>
        <w:spacing w:after="120" w:before="0"/>
        <w:jc w:val="center"/>
      </w:pPr>
      <w:r>
        <w:rPr>
          <w:rFonts w:ascii="Arial" w:cs="Arial" w:eastAsia="Arial" w:hAnsi="Arial"/>
          <w:color w:val="666666"/>
          <w:sz w:val="18"/>
          <w:szCs w:val="18"/>
        </w:rPr>
        <w:t xml:space="preserve">Figura 2. Cartas de control CPI (techo 5.0) por portafolio. Los tres muestran variación aleatoria dentro de los límites de control.</w:t>
      </w:r>
    </w:p>
    <w:p>
      <w:pPr>
        <w:spacing w:after="60" w:before="60"/>
      </w:pPr>
      <w:r>
        <w:t xml:space="preserve"/>
      </w:r>
    </w:p>
    <w:p>
      <w:pPr>
        <w:pStyle w:val="Heading2"/>
        <w:spacing w:after="100" w:before="200"/>
      </w:pPr>
      <w:r>
        <w:rPr>
          <w:rFonts w:ascii="Arial" w:cs="Arial" w:eastAsia="Arial" w:hAnsi="Arial"/>
          <w:b/>
          <w:bCs/>
          <w:color w:val="1F4E79"/>
          <w:sz w:val="24"/>
          <w:szCs w:val="24"/>
        </w:rPr>
        <w:t xml:space="preserve">3.4 Análisis individual por portafolio</w:t>
      </w:r>
    </w:p>
    <w:p>
      <w:pPr>
        <w:pStyle w:val="Heading3"/>
        <w:spacing w:after="80" w:before="160"/>
      </w:pPr>
      <w:r>
        <w:rPr>
          <w:rFonts w:ascii="Arial" w:cs="Arial" w:eastAsia="Arial" w:hAnsi="Arial"/>
          <w:b/>
          <w:bCs/>
          <w:color w:val="1F4E79"/>
          <w:sz w:val="22"/>
          <w:szCs w:val="22"/>
        </w:rPr>
        <w:t xml:space="preserve">CONSULTORÍA — CONTROLADO</w:t>
      </w:r>
    </w:p>
    <w:p>
      <w:pPr>
        <w:pStyle w:val="ListParagraph"/>
        <w:numPr>
          <w:ilvl w:val="0"/>
          <w:numId w:val="2"/>
        </w:numPr>
        <w:spacing w:after="50" w:before="50"/>
      </w:pPr>
      <w:r>
        <w:rPr>
          <w:rFonts w:ascii="Arial" w:cs="Arial" w:eastAsia="Arial" w:hAnsi="Arial"/>
          <w:color w:val="333333"/>
          <w:sz w:val="22"/>
          <w:szCs w:val="22"/>
        </w:rPr>
        <w:t xml:space="preserve">10 observaciones de 2 proyectos: Rodrigo Alexander Ramírez y Leidy Susana Ramírez.</w:t>
      </w:r>
    </w:p>
    <w:p>
      <w:pPr>
        <w:pStyle w:val="ListParagraph"/>
        <w:numPr>
          <w:ilvl w:val="0"/>
          <w:numId w:val="2"/>
        </w:numPr>
        <w:spacing w:after="50" w:before="50"/>
      </w:pPr>
      <w:r>
        <w:rPr>
          <w:rFonts w:ascii="Arial" w:cs="Arial" w:eastAsia="Arial" w:hAnsi="Arial"/>
          <w:color w:val="333333"/>
          <w:sz w:val="22"/>
          <w:szCs w:val="22"/>
        </w:rPr>
        <w:t xml:space="preserve">CL=1.133 con σ=0.202. CV=17.8% — el portafolio con menor dispersión relativa.</w:t>
      </w:r>
    </w:p>
    <w:p>
      <w:pPr>
        <w:pStyle w:val="ListParagraph"/>
        <w:numPr>
          <w:ilvl w:val="0"/>
          <w:numId w:val="2"/>
        </w:numPr>
        <w:spacing w:after="50" w:before="50"/>
      </w:pPr>
      <w:r>
        <w:rPr>
          <w:rFonts w:ascii="Arial" w:cs="Arial" w:eastAsia="Arial" w:hAnsi="Arial"/>
          <w:color w:val="333333"/>
          <w:sz w:val="22"/>
          <w:szCs w:val="22"/>
        </w:rPr>
        <w:t xml:space="preserve">Rodrigo: CPI decrece de 1.50 a 1.10 en el período, reflejando la normalización a medida que los costos reales se acumulan.</w:t>
      </w:r>
    </w:p>
    <w:p>
      <w:pPr>
        <w:pStyle w:val="ListParagraph"/>
        <w:numPr>
          <w:ilvl w:val="0"/>
          <w:numId w:val="2"/>
        </w:numPr>
        <w:spacing w:after="50" w:before="50"/>
      </w:pPr>
      <w:r>
        <w:rPr>
          <w:rFonts w:ascii="Arial" w:cs="Arial" w:eastAsia="Arial" w:hAnsi="Arial"/>
          <w:color w:val="333333"/>
          <w:sz w:val="22"/>
          <w:szCs w:val="22"/>
        </w:rPr>
        <w:t xml:space="preserve">Leidy CONS: CPI en recuperación, de 0.86 a 1.05. Es la primera vez que este proyecto supera CPI=1.0 de forma sostenida.</w:t>
      </w:r>
    </w:p>
    <w:p>
      <w:pPr>
        <w:pStyle w:val="ListParagraph"/>
        <w:numPr>
          <w:ilvl w:val="0"/>
          <w:numId w:val="2"/>
        </w:numPr>
        <w:spacing w:after="50" w:before="50"/>
      </w:pPr>
      <w:r>
        <w:rPr>
          <w:rFonts w:ascii="Arial" w:cs="Arial" w:eastAsia="Arial" w:hAnsi="Arial"/>
          <w:color w:val="333333"/>
          <w:sz w:val="22"/>
          <w:szCs w:val="22"/>
        </w:rPr>
        <w:t xml:space="preserve">Sin ninguna regla de Nelson activa. El patrón alternado entre los dos proyectos genera variación aleatoria y simétrica alrededor de la media.</w:t>
      </w:r>
    </w:p>
    <w:p>
      <w:pPr>
        <w:pStyle w:val="ListParagraph"/>
        <w:numPr>
          <w:ilvl w:val="0"/>
          <w:numId w:val="2"/>
        </w:numPr>
        <w:spacing w:after="50" w:before="50"/>
      </w:pPr>
      <w:r>
        <w:rPr>
          <w:rFonts w:ascii="Arial" w:cs="Arial" w:eastAsia="Arial" w:hAnsi="Arial"/>
          <w:color w:val="333333"/>
          <w:sz w:val="22"/>
          <w:szCs w:val="22"/>
        </w:rPr>
        <w:t xml:space="preserve">Recomendación: monitoreo mensual estándar. Confirmar que Leidy CONS mantiene CPI≥1.0 en el corte de Agosto.</w:t>
      </w:r>
    </w:p>
    <w:p>
      <w:pPr>
        <w:spacing w:after="60" w:before="60"/>
      </w:pPr>
      <w:r>
        <w:t xml:space="preserve"/>
      </w:r>
    </w:p>
    <w:p>
      <w:pPr>
        <w:pStyle w:val="Heading3"/>
        <w:spacing w:after="80" w:before="160"/>
      </w:pPr>
      <w:r>
        <w:rPr>
          <w:rFonts w:ascii="Arial" w:cs="Arial" w:eastAsia="Arial" w:hAnsi="Arial"/>
          <w:b/>
          <w:bCs/>
          <w:color w:val="1F4E79"/>
          <w:sz w:val="22"/>
          <w:szCs w:val="22"/>
        </w:rPr>
        <w:t xml:space="preserve">DATOS Y SISTEMAS DE INFORMACIÓN — CONTROLADO</w:t>
      </w:r>
    </w:p>
    <w:p>
      <w:pPr>
        <w:pStyle w:val="ListParagraph"/>
        <w:numPr>
          <w:ilvl w:val="0"/>
          <w:numId w:val="2"/>
        </w:numPr>
        <w:spacing w:after="50" w:before="50"/>
      </w:pPr>
      <w:r>
        <w:rPr>
          <w:rFonts w:ascii="Arial" w:cs="Arial" w:eastAsia="Arial" w:hAnsi="Arial"/>
          <w:color w:val="333333"/>
          <w:sz w:val="22"/>
          <w:szCs w:val="22"/>
        </w:rPr>
        <w:t xml:space="preserve">37 observaciones de 8 proyectos. Portafolio con mayor número de proyectos activos.</w:t>
      </w:r>
    </w:p>
    <w:p>
      <w:pPr>
        <w:pStyle w:val="ListParagraph"/>
        <w:numPr>
          <w:ilvl w:val="0"/>
          <w:numId w:val="2"/>
        </w:numPr>
        <w:spacing w:after="50" w:before="50"/>
      </w:pPr>
      <w:r>
        <w:rPr>
          <w:rFonts w:ascii="Arial" w:cs="Arial" w:eastAsia="Arial" w:hAnsi="Arial"/>
          <w:color w:val="333333"/>
          <w:sz w:val="22"/>
          <w:szCs w:val="22"/>
        </w:rPr>
        <w:t xml:space="preserve">CL=1.829 con σ=0.868. CV=47.5% — refleja la heterogeneidad de proyectos con distintos niveles de eficiencia de costo.</w:t>
      </w:r>
    </w:p>
    <w:p>
      <w:pPr>
        <w:pStyle w:val="ListParagraph"/>
        <w:numPr>
          <w:ilvl w:val="0"/>
          <w:numId w:val="2"/>
        </w:numPr>
        <w:spacing w:after="50" w:before="50"/>
      </w:pPr>
      <w:r>
        <w:rPr>
          <w:rFonts w:ascii="Arial" w:cs="Arial" w:eastAsia="Arial" w:hAnsi="Arial"/>
          <w:color w:val="333333"/>
          <w:sz w:val="22"/>
          <w:szCs w:val="22"/>
        </w:rPr>
        <w:t xml:space="preserve">El mayor contribuyente a la varianza es Mario Pirachican, cuyo CPI decae de 4.0 en Marzo hasta 2.3 en Julio — comportamiento esperado a medida que los costos del proyecto se acumulan.</w:t>
      </w:r>
    </w:p>
    <w:p>
      <w:pPr>
        <w:pStyle w:val="ListParagraph"/>
        <w:numPr>
          <w:ilvl w:val="0"/>
          <w:numId w:val="2"/>
        </w:numPr>
        <w:spacing w:after="50" w:before="50"/>
      </w:pPr>
      <w:r>
        <w:rPr>
          <w:rFonts w:ascii="Arial" w:cs="Arial" w:eastAsia="Arial" w:hAnsi="Arial"/>
          <w:color w:val="333333"/>
          <w:sz w:val="22"/>
          <w:szCs w:val="22"/>
        </w:rPr>
        <w:t xml:space="preserve">Gerardo Segura y Fernando Linares mantienen CPI 2.0–2.8, coherente con proyectos de largo plazo con buena eficiencia.</w:t>
      </w:r>
    </w:p>
    <w:p>
      <w:pPr>
        <w:pStyle w:val="ListParagraph"/>
        <w:numPr>
          <w:ilvl w:val="0"/>
          <w:numId w:val="2"/>
        </w:numPr>
        <w:spacing w:after="50" w:before="50"/>
      </w:pPr>
      <w:r>
        <w:rPr>
          <w:rFonts w:ascii="Arial" w:cs="Arial" w:eastAsia="Arial" w:hAnsi="Arial"/>
          <w:color w:val="333333"/>
          <w:sz w:val="22"/>
          <w:szCs w:val="22"/>
        </w:rPr>
        <w:t xml:space="preserve">Sin ninguna regla de Nelson activa. La distribución de valores alrededor de la media es aleatoria.</w:t>
      </w:r>
    </w:p>
    <w:p>
      <w:pPr>
        <w:pStyle w:val="ListParagraph"/>
        <w:numPr>
          <w:ilvl w:val="0"/>
          <w:numId w:val="2"/>
        </w:numPr>
        <w:spacing w:after="50" w:before="50"/>
      </w:pPr>
      <w:r>
        <w:rPr>
          <w:rFonts w:ascii="Arial" w:cs="Arial" w:eastAsia="Arial" w:hAnsi="Arial"/>
          <w:color w:val="333333"/>
          <w:sz w:val="22"/>
          <w:szCs w:val="22"/>
        </w:rPr>
        <w:t xml:space="preserve">Recomendación: vigilar la convergencia del CPI de Mario Pirachican en los próximos meses. Si llega a &lt;2.0 confirma la tendencia esperada; si se estanca por encima de 3.0, revisar el plan de costos.</w:t>
      </w:r>
    </w:p>
    <w:p>
      <w:pPr>
        <w:spacing w:after="60" w:before="60"/>
      </w:pPr>
      <w:r>
        <w:t xml:space="preserve"/>
      </w:r>
    </w:p>
    <w:p>
      <w:pPr>
        <w:pStyle w:val="Heading3"/>
        <w:spacing w:after="80" w:before="160"/>
      </w:pPr>
      <w:r>
        <w:rPr>
          <w:rFonts w:ascii="Arial" w:cs="Arial" w:eastAsia="Arial" w:hAnsi="Arial"/>
          <w:b/>
          <w:bCs/>
          <w:color w:val="1F4E79"/>
          <w:sz w:val="22"/>
          <w:szCs w:val="22"/>
        </w:rPr>
        <w:t xml:space="preserve">TI — CONTROLADO</w:t>
      </w:r>
    </w:p>
    <w:p>
      <w:pPr>
        <w:pStyle w:val="ListParagraph"/>
        <w:numPr>
          <w:ilvl w:val="0"/>
          <w:numId w:val="2"/>
        </w:numPr>
        <w:spacing w:after="50" w:before="50"/>
      </w:pPr>
      <w:r>
        <w:rPr>
          <w:rFonts w:ascii="Arial" w:cs="Arial" w:eastAsia="Arial" w:hAnsi="Arial"/>
          <w:color w:val="333333"/>
          <w:sz w:val="22"/>
          <w:szCs w:val="22"/>
        </w:rPr>
        <w:t xml:space="preserve">33 observaciones de 9 proyectos. Portafolio con mayor dispersión absoluta (σ=1.617).</w:t>
      </w:r>
    </w:p>
    <w:p>
      <w:pPr>
        <w:pStyle w:val="ListParagraph"/>
        <w:numPr>
          <w:ilvl w:val="0"/>
          <w:numId w:val="2"/>
        </w:numPr>
        <w:spacing w:after="50" w:before="50"/>
      </w:pPr>
      <w:r>
        <w:rPr>
          <w:rFonts w:ascii="Arial" w:cs="Arial" w:eastAsia="Arial" w:hAnsi="Arial"/>
          <w:color w:val="333333"/>
          <w:sz w:val="22"/>
          <w:szCs w:val="22"/>
        </w:rPr>
        <w:t xml:space="preserve">CL=2.244 y UCL=7.095. El amplio UCL refleja la heterogeneidad: proyectos como Yhon Jairo 60m y Blanca Rangel tienen CPI cercano al techo 5.0 en fases iniciales, mientras otros (Leidy TI, Jorge Santana) están en recuperación con CPI&lt;1.0.</w:t>
      </w:r>
    </w:p>
    <w:p>
      <w:pPr>
        <w:pStyle w:val="ListParagraph"/>
        <w:numPr>
          <w:ilvl w:val="0"/>
          <w:numId w:val="2"/>
        </w:numPr>
        <w:spacing w:after="50" w:before="50"/>
      </w:pPr>
      <w:r>
        <w:rPr>
          <w:rFonts w:ascii="Arial" w:cs="Arial" w:eastAsia="Arial" w:hAnsi="Arial"/>
          <w:color w:val="333333"/>
          <w:sz w:val="22"/>
          <w:szCs w:val="22"/>
        </w:rPr>
        <w:t xml:space="preserve">A pesar de la dispersión, ninguna regla de Nelson se activa — la variabilidad es aleatoria y no sistémica.</w:t>
      </w:r>
    </w:p>
    <w:p>
      <w:pPr>
        <w:pStyle w:val="ListParagraph"/>
        <w:numPr>
          <w:ilvl w:val="0"/>
          <w:numId w:val="2"/>
        </w:numPr>
        <w:spacing w:after="50" w:before="50"/>
      </w:pPr>
      <w:r>
        <w:rPr>
          <w:rFonts w:ascii="Arial" w:cs="Arial" w:eastAsia="Arial" w:hAnsi="Arial"/>
          <w:color w:val="333333"/>
          <w:sz w:val="22"/>
          <w:szCs w:val="22"/>
        </w:rPr>
        <w:t xml:space="preserve">Carlos Osorio mantiene CPI≈1.0 en todos los meses del período, siendo la referencia de eficiencia óptima dentro del portafolio.</w:t>
      </w:r>
    </w:p>
    <w:p>
      <w:pPr>
        <w:pStyle w:val="ListParagraph"/>
        <w:numPr>
          <w:ilvl w:val="0"/>
          <w:numId w:val="2"/>
        </w:numPr>
        <w:spacing w:after="50" w:before="50"/>
      </w:pPr>
      <w:r>
        <w:rPr>
          <w:rFonts w:ascii="Arial" w:cs="Arial" w:eastAsia="Arial" w:hAnsi="Arial"/>
          <w:color w:val="333333"/>
          <w:sz w:val="22"/>
          <w:szCs w:val="22"/>
        </w:rPr>
        <w:t xml:space="preserve">Recomendación: los proyectos con CPI&gt;5.0 (capados al techo) deben vigilarse en la medición real sin techo — si su CPI real sigue siendo muy alto, podría indicar subejecución de costos que afectará al proyecto cuando los costos reales se materialicen.</w:t>
      </w:r>
    </w:p>
    <w:p>
      <w:r>
        <w:br w:type="page"/>
      </w:r>
    </w:p>
    <w:p>
      <w:pPr>
        <w:pStyle w:val="Heading1"/>
        <w:pBdr>
          <w:bottom w:val="single" w:color="2E75B6" w:sz="6" w:space="1"/>
        </w:pBdr>
        <w:spacing w:after="140" w:before="300"/>
      </w:pPr>
      <w:r>
        <w:rPr>
          <w:rFonts w:ascii="Arial" w:cs="Arial" w:eastAsia="Arial" w:hAnsi="Arial"/>
          <w:b/>
          <w:bCs/>
          <w:color w:val="1F4E79"/>
          <w:sz w:val="28"/>
          <w:szCs w:val="28"/>
        </w:rPr>
        <w:t xml:space="preserve">4. Conclusiones y recomendaciones</w:t>
      </w:r>
    </w:p>
    <w:p>
      <w:pPr>
        <w:pStyle w:val="Heading2"/>
        <w:spacing w:after="100" w:before="200"/>
      </w:pPr>
      <w:r>
        <w:rPr>
          <w:rFonts w:ascii="Arial" w:cs="Arial" w:eastAsia="Arial" w:hAnsi="Arial"/>
          <w:b/>
          <w:bCs/>
          <w:color w:val="1F4E79"/>
          <w:sz w:val="24"/>
          <w:szCs w:val="24"/>
        </w:rPr>
        <w:t xml:space="preserve">4.1 Conclusiones</w:t>
      </w:r>
    </w:p>
    <w:p>
      <w:pPr>
        <w:pStyle w:val="ListParagraph"/>
        <w:numPr>
          <w:ilvl w:val="0"/>
          <w:numId w:val="2"/>
        </w:numPr>
        <w:spacing w:after="50" w:before="50"/>
      </w:pPr>
      <w:r>
        <w:rPr>
          <w:rFonts w:ascii="Arial" w:cs="Arial" w:eastAsia="Arial" w:hAnsi="Arial"/>
          <w:color w:val="333333"/>
          <w:sz w:val="22"/>
          <w:szCs w:val="22"/>
        </w:rPr>
        <w:t xml:space="preserve">Los tres portafolios alcanzan CONTROLADO en el CPI. No se detectan causas especiales en ningún portafolio individual, lo que valida que la variabilidad del costo en el período Marzo–Julio 2026 es de naturaleza aleatoria dentro de los rangos históricos.</w:t>
      </w:r>
    </w:p>
    <w:p>
      <w:pPr>
        <w:pStyle w:val="ListParagraph"/>
        <w:numPr>
          <w:ilvl w:val="0"/>
          <w:numId w:val="2"/>
        </w:numPr>
        <w:spacing w:after="50" w:before="50"/>
      </w:pPr>
      <w:r>
        <w:rPr>
          <w:rFonts w:ascii="Arial" w:cs="Arial" w:eastAsia="Arial" w:hAnsi="Arial"/>
          <w:color w:val="333333"/>
          <w:sz w:val="22"/>
          <w:szCs w:val="22"/>
        </w:rPr>
        <w:t xml:space="preserve">El CPI global es MARGINAL (R6=2). Este resultado es una consecuencia directa de la diferencia estructural entre los niveles de CPI de los tres portafolios (CONSULTORÍA CL=1.13, DSI CL=1.83, TI CL=2.24). Al mezclarlos en el análisis global, los valores de distintos portafolios aparecen como outliers relativos a la media global. El análisis por portafolio es la vista operativamente relevante.</w:t>
      </w:r>
    </w:p>
    <w:p>
      <w:pPr>
        <w:pStyle w:val="ListParagraph"/>
        <w:numPr>
          <w:ilvl w:val="0"/>
          <w:numId w:val="2"/>
        </w:numPr>
        <w:spacing w:after="50" w:before="50"/>
      </w:pPr>
      <w:r>
        <w:rPr>
          <w:rFonts w:ascii="Arial" w:cs="Arial" w:eastAsia="Arial" w:hAnsi="Arial"/>
          <w:color w:val="333333"/>
          <w:sz w:val="22"/>
          <w:szCs w:val="22"/>
        </w:rPr>
        <w:t xml:space="preserve">CONSULTORÍA es el portafolio con mayor estabilidad de costos (CV=17.8%). DATOS Y SI presenta variabilidad moderada (CV=47.5%). TI tiene la mayor dispersión (CV=72.1%) pero sin causas especiales — es la heterogeneidad esperada de un portafolio con proyectos en etapas muy distintas.</w:t>
      </w:r>
    </w:p>
    <w:p>
      <w:pPr>
        <w:pStyle w:val="ListParagraph"/>
        <w:numPr>
          <w:ilvl w:val="0"/>
          <w:numId w:val="2"/>
        </w:numPr>
        <w:spacing w:after="50" w:before="50"/>
      </w:pPr>
      <w:r>
        <w:rPr>
          <w:rFonts w:ascii="Arial" w:cs="Arial" w:eastAsia="Arial" w:hAnsi="Arial"/>
          <w:color w:val="333333"/>
          <w:sz w:val="22"/>
          <w:szCs w:val="22"/>
        </w:rPr>
        <w:t xml:space="preserve">La tendencia de los proyectos con CPI alto (&gt;5.0 en etapas iniciales) a converger hacia valores de 2–4 en fases avanzadas es el comportamiento esperado y no representa una señal de alerta.</w:t>
      </w:r>
    </w:p>
    <w:p>
      <w:pPr>
        <w:spacing w:after="60" w:before="60"/>
      </w:pPr>
      <w:r>
        <w:t xml:space="preserve"/>
      </w:r>
    </w:p>
    <w:p>
      <w:pPr>
        <w:pStyle w:val="Heading2"/>
        <w:spacing w:after="100" w:before="200"/>
      </w:pPr>
      <w:r>
        <w:rPr>
          <w:rFonts w:ascii="Arial" w:cs="Arial" w:eastAsia="Arial" w:hAnsi="Arial"/>
          <w:b/>
          <w:bCs/>
          <w:color w:val="1F4E79"/>
          <w:sz w:val="24"/>
          <w:szCs w:val="24"/>
        </w:rPr>
        <w:t xml:space="preserve">4.2 Parámetros de la línea base para uso operativo</w:t>
      </w:r>
    </w:p>
    <w:p>
      <w:pPr>
        <w:spacing w:after="100" w:before="80"/>
        <w:jc w:val="left"/>
      </w:pPr>
      <w:r>
        <w:rPr>
          <w:rFonts w:ascii="Arial" w:cs="Arial" w:eastAsia="Arial" w:hAnsi="Arial"/>
          <w:b w:val="false"/>
          <w:bCs w:val="false"/>
          <w:color w:val="333333"/>
          <w:sz w:val="22"/>
          <w:szCs w:val="22"/>
        </w:rPr>
        <w:t xml:space="preserve">Los siguientes parámetros son los valores recomendados para el sistema de alertas de CPI por portafolio. Cualquier observación fuera de UCL o LCL en un mes específico debe tratarse como causa especial y activar revisión.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900"/>
        <w:gridCol w:w="1900"/>
        <w:gridCol w:w="1260"/>
      </w:tblGrid>
      <w:tr>
        <w:tc>
          <w:tcPr>
            <w:tcW w:type="dxa" w:w="260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Portafolio</w:t>
            </w:r>
          </w:p>
        </w:tc>
        <w:tc>
          <w:tcPr>
            <w:tcW w:type="dxa" w:w="170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CL (referencia)</w:t>
            </w:r>
          </w:p>
        </w:tc>
        <w:tc>
          <w:tcPr>
            <w:tcW w:type="dxa" w:w="190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UCL (alerta alta)</w:t>
            </w:r>
          </w:p>
        </w:tc>
        <w:tc>
          <w:tcPr>
            <w:tcW w:type="dxa" w:w="190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LCL (alerta baja)</w:t>
            </w:r>
          </w:p>
        </w:tc>
        <w:tc>
          <w:tcPr>
            <w:tcW w:type="dxa" w:w="1260"/>
            <w:gridSpan w:val="1"/>
            <w:tcBorders>
              <w:top w:val="single" w:color="CCCCCC" w:sz="1"/>
              <w:left w:val="single" w:color="CCCCCC" w:sz="1"/>
              <w:bottom w:val="single" w:color="CCCCCC" w:sz="1"/>
              <w:right w:val="single" w:color="CCCCCC" w:sz="1"/>
            </w:tcBorders>
            <w:shd w:fill="14375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Uso sugerido</w:t>
            </w:r>
          </w:p>
        </w:tc>
      </w:tr>
      <w:tr>
        <w:tc>
          <w:tcPr>
            <w:tcW w:type="dxa" w:w="2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bCs/>
                <w:color w:val="534AB7"/>
                <w:sz w:val="18"/>
                <w:szCs w:val="18"/>
              </w:rPr>
              <w:t xml:space="preserve">CONSULTORÍA</w:t>
            </w:r>
          </w:p>
        </w:tc>
        <w:tc>
          <w:tcPr>
            <w:tcW w:type="dxa" w:w="17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222222"/>
                <w:sz w:val="18"/>
                <w:szCs w:val="18"/>
              </w:rPr>
              <w:t xml:space="preserve">1.13</w:t>
            </w:r>
          </w:p>
        </w:tc>
        <w:tc>
          <w:tcPr>
            <w:tcW w:type="dxa" w:w="19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1.74</w:t>
            </w:r>
          </w:p>
        </w:tc>
        <w:tc>
          <w:tcPr>
            <w:tcW w:type="dxa" w:w="19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0.53</w:t>
            </w:r>
          </w:p>
        </w:tc>
        <w:tc>
          <w:tcPr>
            <w:tcW w:type="dxa" w:w="12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Alerta mensual CPI</w:t>
            </w:r>
          </w:p>
        </w:tc>
      </w:tr>
      <w:tr>
        <w:tc>
          <w:tcPr>
            <w:tcW w:type="dxa" w:w="2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bCs/>
                <w:color w:val="1F4E79"/>
                <w:sz w:val="18"/>
                <w:szCs w:val="18"/>
              </w:rPr>
              <w:t xml:space="preserve">DATOS Y SI</w:t>
            </w:r>
          </w:p>
        </w:tc>
        <w:tc>
          <w:tcPr>
            <w:tcW w:type="dxa" w:w="17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222222"/>
                <w:sz w:val="18"/>
                <w:szCs w:val="18"/>
              </w:rPr>
              <w:t xml:space="preserve">1.83</w:t>
            </w:r>
          </w:p>
        </w:tc>
        <w:tc>
          <w:tcPr>
            <w:tcW w:type="dxa" w:w="19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4.43</w:t>
            </w:r>
          </w:p>
        </w:tc>
        <w:tc>
          <w:tcPr>
            <w:tcW w:type="dxa" w:w="19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−0.78</w:t>
            </w:r>
          </w:p>
        </w:tc>
        <w:tc>
          <w:tcPr>
            <w:tcW w:type="dxa" w:w="12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Alerta mensual CPI</w:t>
            </w:r>
          </w:p>
        </w:tc>
      </w:tr>
      <w:tr>
        <w:tc>
          <w:tcPr>
            <w:tcW w:type="dxa" w:w="26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bCs/>
                <w:color w:val="375623"/>
                <w:sz w:val="18"/>
                <w:szCs w:val="18"/>
              </w:rPr>
              <w:t xml:space="preserve">TI</w:t>
            </w:r>
          </w:p>
        </w:tc>
        <w:tc>
          <w:tcPr>
            <w:tcW w:type="dxa" w:w="17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222222"/>
                <w:sz w:val="18"/>
                <w:szCs w:val="18"/>
              </w:rPr>
              <w:t xml:space="preserve">2.24</w:t>
            </w:r>
          </w:p>
        </w:tc>
        <w:tc>
          <w:tcPr>
            <w:tcW w:type="dxa" w:w="19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7.09</w:t>
            </w:r>
          </w:p>
        </w:tc>
        <w:tc>
          <w:tcPr>
            <w:tcW w:type="dxa" w:w="190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−2.61</w:t>
            </w:r>
          </w:p>
        </w:tc>
        <w:tc>
          <w:tcPr>
            <w:tcW w:type="dxa" w:w="1260"/>
            <w:tcBorders>
              <w:top w:val="single" w:color="CCCCCC" w:sz="1"/>
              <w:left w:val="single" w:color="CCCCCC" w:sz="1"/>
              <w:bottom w:val="single" w:color="CCCCCC" w:sz="1"/>
              <w:right w:val="single" w:color="CCCCCC" w:sz="1"/>
            </w:tcBorders>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Alerta mensual CPI</w:t>
            </w:r>
          </w:p>
        </w:tc>
      </w:tr>
    </w:tbl>
    <w:p>
      <w:pPr>
        <w:spacing w:after="60" w:before="60"/>
      </w:pPr>
      <w:r>
        <w:t xml:space="preserve"/>
      </w:r>
    </w:p>
    <w:p>
      <w:pPr>
        <w:pBdr>
          <w:left w:val="single" w:color="2E75B6" w:sz="16"/>
        </w:pBdr>
        <w:shd w:fill="D6E4F0" w:val="clear"/>
        <w:spacing w:after="120" w:before="120"/>
      </w:pPr>
      <w:r>
        <w:rPr>
          <w:rFonts w:ascii="Arial" w:cs="Arial" w:eastAsia="Arial" w:hAnsi="Arial"/>
          <w:b/>
          <w:bCs/>
          <w:color w:val="2E75B6"/>
          <w:sz w:val="22"/>
          <w:szCs w:val="22"/>
        </w:rPr>
        <w:t xml:space="preserve">  Nota sobre el LCL negativo en DSI y TI: </w:t>
      </w:r>
      <w:r>
        <w:rPr>
          <w:rFonts w:ascii="Arial" w:cs="Arial" w:eastAsia="Arial" w:hAnsi="Arial"/>
          <w:color w:val="333333"/>
          <w:sz w:val="22"/>
          <w:szCs w:val="22"/>
        </w:rPr>
        <w:t xml:space="preserve">Un LCL negativo significa que matemáticamente no existe un límite inferior significativo — cualquier CPI positivo (por encima de 0) está dentro del rango controlado para esos portafolios. El LCL negativo refleja la alta variabilidad inherente en portafolios con proyectos en etapas muy distintas. En la práctica, se recomienda usar CPI &lt; 0.80 como umbral de alerta operativa independiente de los límites estadísticos.</w:t>
      </w:r>
    </w:p>
    <w:p>
      <w:pPr>
        <w:spacing w:after="60" w:before="60"/>
      </w:pPr>
      <w:r>
        <w:t xml:space="preserve"/>
      </w:r>
    </w:p>
    <w:p>
      <w:pPr>
        <w:pStyle w:val="Heading2"/>
        <w:spacing w:after="100" w:before="200"/>
      </w:pPr>
      <w:r>
        <w:rPr>
          <w:rFonts w:ascii="Arial" w:cs="Arial" w:eastAsia="Arial" w:hAnsi="Arial"/>
          <w:b/>
          <w:bCs/>
          <w:color w:val="1F4E79"/>
          <w:sz w:val="24"/>
          <w:szCs w:val="24"/>
        </w:rPr>
        <w:t xml:space="preserve">4.3 Acciones recomendadas</w:t>
      </w:r>
    </w:p>
    <w:p>
      <w:pPr>
        <w:pStyle w:val="ListParagraph"/>
        <w:numPr>
          <w:ilvl w:val="0"/>
          <w:numId w:val="2"/>
        </w:numPr>
        <w:spacing w:after="50" w:before="50"/>
      </w:pPr>
      <w:r>
        <w:rPr>
          <w:rFonts w:ascii="Arial" w:cs="Arial" w:eastAsia="Arial" w:hAnsi="Arial"/>
          <w:color w:val="333333"/>
          <w:sz w:val="22"/>
          <w:szCs w:val="22"/>
        </w:rPr>
        <w:t xml:space="preserve">Re-ejecutar este análisis con los datos reales de Agosto 2026 para validar si las tendencias observadas se mantienen y si CONSULTORÍA y DATOS Y SI continúan en proceso controlado.</w:t>
      </w:r>
    </w:p>
    <w:p>
      <w:pPr>
        <w:pStyle w:val="ListParagraph"/>
        <w:numPr>
          <w:ilvl w:val="0"/>
          <w:numId w:val="2"/>
        </w:numPr>
        <w:spacing w:after="50" w:before="50"/>
      </w:pPr>
      <w:r>
        <w:rPr>
          <w:rFonts w:ascii="Arial" w:cs="Arial" w:eastAsia="Arial" w:hAnsi="Arial"/>
          <w:color w:val="333333"/>
          <w:sz w:val="22"/>
          <w:szCs w:val="22"/>
        </w:rPr>
        <w:t xml:space="preserve">Para Leidy Ramírez CONS: confirmar CPI ≥ 0.90 en el corte de Agosto. Si cae por debajo, activar revisión formal del plan de costos y recursos del proyecto.</w:t>
      </w:r>
    </w:p>
    <w:p>
      <w:pPr>
        <w:pStyle w:val="ListParagraph"/>
        <w:numPr>
          <w:ilvl w:val="0"/>
          <w:numId w:val="2"/>
        </w:numPr>
        <w:spacing w:after="50" w:before="50"/>
      </w:pPr>
      <w:r>
        <w:rPr>
          <w:rFonts w:ascii="Arial" w:cs="Arial" w:eastAsia="Arial" w:hAnsi="Arial"/>
          <w:color w:val="333333"/>
          <w:sz w:val="22"/>
          <w:szCs w:val="22"/>
        </w:rPr>
        <w:t xml:space="preserve">Para Mario Pirachican: el CPI debería continuar su descenso natural (de 4.0 en Marzo a valores 2.0–2.5 en Agosto). Si se estanca por encima de 3.5, investigar si hay subejecución de costos planificados.</w:t>
      </w:r>
    </w:p>
    <w:p>
      <w:pPr>
        <w:pStyle w:val="ListParagraph"/>
        <w:numPr>
          <w:ilvl w:val="0"/>
          <w:numId w:val="2"/>
        </w:numPr>
        <w:spacing w:after="50" w:before="50"/>
      </w:pPr>
      <w:r>
        <w:rPr>
          <w:rFonts w:ascii="Arial" w:cs="Arial" w:eastAsia="Arial" w:hAnsi="Arial"/>
          <w:color w:val="333333"/>
          <w:sz w:val="22"/>
          <w:szCs w:val="22"/>
        </w:rPr>
        <w:t xml:space="preserve">Para proyectos TI con CPI capado (Yhon Jairo 60m, Blanca Rangel): vigilar el CPI real sin techo en los próximos cortes. Un CPI muy alto sostenido puede indicar que el proyecto no está gastando según el plan, lo que podría crear riesgos de ejecución en fases posteriores.</w:t>
      </w:r>
    </w:p>
    <w:p>
      <w:pPr>
        <w:pStyle w:val="ListParagraph"/>
        <w:numPr>
          <w:ilvl w:val="0"/>
          <w:numId w:val="2"/>
        </w:numPr>
        <w:spacing w:after="50" w:before="50"/>
      </w:pPr>
      <w:r>
        <w:rPr>
          <w:rFonts w:ascii="Arial" w:cs="Arial" w:eastAsia="Arial" w:hAnsi="Arial"/>
          <w:color w:val="333333"/>
          <w:sz w:val="22"/>
          <w:szCs w:val="22"/>
        </w:rPr>
        <w:t xml:space="preserve">Considerar implementar la carta de control individual como herramienta de monitoreo mensual: graficar el CPI de cada proyecto dentro de los límites UCL/LCL de su portafolio para identificar en tiempo real cualquier señal de causa especial.</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00"/>
    </w:pPr>
    <w:r>
      <w:rPr>
        <w:rFonts w:ascii="Arial" w:cs="Arial" w:eastAsia="Arial" w:hAnsi="Arial"/>
        <w:color w:val="999999"/>
        <w:sz w:val="16"/>
        <w:szCs w:val="16"/>
      </w:rPr>
      <w:t xml:space="preserve">CONSULTORÍA CONTROLADO · DATOS Y SI CONTROLADO · TI CONTROLADO</w:t>
    </w:r>
    <w:r>
      <w:rPr>
        <w:rFonts w:ascii="Arial" w:cs="Arial" w:eastAsia="Arial" w:hAnsi="Arial"/>
        <w:color w:val="999999"/>
        <w:sz w:val="16"/>
        <w:szCs w:val="16"/>
      </w:rPr>
      <w:t xml:space="preserve">	Pág.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00"/>
    </w:pPr>
    <w:r>
      <w:rPr>
        <w:rFonts w:ascii="Arial" w:cs="Arial" w:eastAsia="Arial" w:hAnsi="Arial"/>
        <w:color w:val="666666"/>
        <w:sz w:val="18"/>
        <w:szCs w:val="18"/>
      </w:rPr>
      <w:t xml:space="preserve">Línea Base CPI — Portafolio de Proyectos · Mar–Jul 2026</w:t>
    </w:r>
    <w:r>
      <w:rPr>
        <w:rFonts w:ascii="Arial" w:cs="Arial" w:eastAsia="Arial" w:hAnsi="Arial"/>
        <w:color w:val="999999"/>
        <w:sz w:val="18"/>
        <w:szCs w:val="18"/>
      </w:rPr>
      <w:t xml:space="preserve">	Agosto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4E79"/>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f3e3aa35d4f5f1ae852122970540f545362781.png"/><Relationship Id="rId10" Type="http://schemas.openxmlformats.org/officeDocument/2006/relationships/image" Target="media/0cbc8198e41c5773c2ccf98745f0ec19c9a11ee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2026-08-03T20:56:11.325Z</dcterms:created>
  <dcterms:modified xsi:type="dcterms:W3CDTF">2026-08-03T20:56:11.342Z</dcterms:modified>
</cp:coreProperties>
</file>

<file path=docProps/custom.xml><?xml version="1.0" encoding="utf-8"?>
<Properties xmlns="http://schemas.openxmlformats.org/officeDocument/2006/custom-properties" xmlns:vt="http://schemas.openxmlformats.org/officeDocument/2006/docPropsVTypes"/>
</file>