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12-bold"/>
        <w:jc w:val="center"/>
      </w:pPr>
      <w:r>
        <w:t xml:space="preserve">TERMO DE NOTIFICAÇÃO DE LANÇAMENTO E AUTO DE INFRAÇÃO</w:t>
      </w:r>
    </w:p>
    <w:p>
      <w:pPr>
        <w:jc w:val="center"/>
      </w:pPr>
      <w:r>
        <w:rPr>
          <w:b/>
          <w:bCs/>
          <w:color w:val="000000"/>
          <w:sz w:val="24"/>
          <w:szCs w:val="24"/>
          <w:rStyle w:val="12-bold"/>
        </w:rPr>
        <w:t xml:space="preserve">Nº </w:t>
      </w:r>
      <w:r>
        <w:rPr>
          <w:color w:val="000000"/>
          <w:sz w:val="24"/>
          <w:szCs w:val="24"/>
          <w:rStyle w:val="principal"/>
        </w:rPr>
        <w:t xml:space="preserve">1.2111201/2022</w:t>
      </w:r>
    </w:p>
    <w:p>
      <w:pPr>
        <w:pStyle w:val="12-bold"/>
        <w:jc w:val="center"/>
      </w:pPr>
    </w:p>
    <w:p>
      <w:pPr>
        <w:jc w:val="left"/>
      </w:pPr>
      <w:r>
        <w:rPr>
          <w:b/>
          <w:bCs/>
          <w:color w:val="000000"/>
          <w:sz w:val="24"/>
          <w:szCs w:val="24"/>
          <w:rStyle w:val="12-bold"/>
        </w:rPr>
        <w:t xml:space="preserve">      Processo administrativo Nº </w:t>
      </w:r>
      <w:r>
        <w:rPr>
          <w:color w:val="000000"/>
          <w:sz w:val="24"/>
          <w:szCs w:val="24"/>
          <w:rStyle w:val="principal"/>
        </w:rPr>
        <w:t xml:space="preserve">1.2111201/2022</w:t>
      </w:r>
    </w:p>
    <w:p>
      <w:pPr>
        <w:pStyle w:val="12-bold"/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CONTRIBUINTE MATRIZ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Vivo S.A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Vivo S.A</w:t>
            </w:r>
          </w:p>
        </w:tc>
      </w:tr>
    </w:tbl>
    <w:p>
      <w:pPr>
        <w:pStyle w:val="12-bold"/>
        <w:jc w:val="center"/>
      </w:pPr>
    </w:p>
    <w:p>
      <w:pPr>
        <w:jc w:val="both"/>
      </w:pPr>
      <w:r>
        <w:rPr>
          <w:b w:val="false"/>
          <w:bCs w:val="false"/>
          <w:sz w:val="24"/>
          <w:szCs w:val="24"/>
          <w:rStyle w:val="principal"/>
        </w:rPr>
        <w:t xml:space="preserve">          Em </w:t>
      </w:r>
      <w:r>
        <w:rPr>
          <w:b w:val="false"/>
          <w:bCs w:val="false"/>
          <w:sz w:val="24"/>
          <w:szCs w:val="24"/>
          <w:rStyle w:val="principal"/>
          <w:highlight w:val="yellow"/>
          <w:highlightCs w:val="yellow"/>
        </w:rPr>
        <w:t xml:space="preserve">9 de junho de 2022</w:t>
      </w:r>
      <w:r>
        <w:rPr>
          <w:b w:val="false"/>
          <w:bCs w:val="false"/>
          <w:sz w:val="24"/>
          <w:szCs w:val="24"/>
          <w:rStyle w:val="principal"/>
        </w:rPr>
        <w:t xml:space="preserve">, no exercício das atribuições inerentes ao poder de polícia administrativa tributária da Secretaria Municipal de Planejamento de Campo Maior PI, NOTIFICA-SE vossa senhoria para tomar conhecimento a respeito do lançamento, referente Contribuição para o Custeio da Iluminação Pública - COSIP, referente ao exercício de </w:t>
      </w:r>
      <w:r>
        <w:rPr>
          <w:b w:val="false"/>
          <w:bCs w:val="false"/>
          <w:sz w:val="24"/>
          <w:szCs w:val="24"/>
          <w:rStyle w:val="principal"/>
          <w:highlight w:val="yellow"/>
          <w:highlightCs w:val="yellow"/>
        </w:rPr>
        <w:t xml:space="preserve">2017</w:t>
      </w:r>
      <w:r>
        <w:rPr>
          <w:b w:val="false"/>
          <w:bCs w:val="false"/>
          <w:sz w:val="24"/>
          <w:szCs w:val="24"/>
          <w:rStyle w:val="principal"/>
        </w:rPr>
        <w:t xml:space="preserve">.</w:t>
      </w:r>
    </w:p>
    <w:p>
      <w:pPr>
        <w:jc w:val="center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1. DOS FATOS</w:t>
            </w:r>
          </w:p>
        </w:tc>
      </w:tr>
    </w:tbl>
    <w:p>
      <w:pPr>
        <w:jc w:val="center"/>
      </w:pPr>
    </w:p>
    <w:p>
      <w:pPr>
        <w:pStyle w:val="principal"/>
        <w:jc w:val="left"/>
      </w:pPr>
      <w:r>
        <w:t xml:space="preserve">          Como se sabe, a cobrança da COSIP do contribuinte é realizada pela autuada mensalmente, diretamente nas faturas de energia elétrica, de acordo com os valores prescritos na Tabela I, da Lei nº 005/2003, cujo produto da arrecadação é posteriormente repassado ao município.</w:t>
      </w:r>
    </w:p>
    <w:p>
      <w:pPr>
        <w:jc w:val="right"/>
      </w:pPr>
      <w:r>
        <w:rPr>
          <w:color w:val="000000"/>
          <w:sz w:val="24"/>
          <w:szCs w:val="24"/>
          <w:rStyle w:val="principal-marcado"/>
          <w:highlight w:val="yellow"/>
          <w:highlightCs w:val="yellow"/>
        </w:rPr>
        <w:t xml:space="preserve">Lei</w:t>
      </w:r>
      <w:r>
        <w:rPr>
          <w:color w:val="000000"/>
          <w:sz w:val="24"/>
          <w:szCs w:val="24"/>
          <w:rStyle w:val="principal"/>
        </w:rPr>
        <w:t xml:space="preserve"> nº </w:t>
      </w:r>
      <w:r>
        <w:rPr>
          <w:color w:val="000000"/>
          <w:sz w:val="24"/>
          <w:szCs w:val="24"/>
          <w:rStyle w:val="principal-marcado"/>
          <w:highlight w:val="yellow"/>
          <w:highlightCs w:val="yellow"/>
        </w:rPr>
        <w:t xml:space="preserve">005/2003</w:t>
      </w:r>
    </w:p>
    <w:p>
      <w:pPr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principal-marcado"/>
              <w:jc w:val="both"/>
            </w:pPr>
            <w:r>
              <w:t xml:space="preserve">Art. 4º. A COSIP será cobrada mensalmente, por meio da conta de Energia Elétrica emitida pela concessionária, de acordo com os valores constantes da Tabela I, desta Lei.</w:t>
            </w:r>
          </w:p>
        </w:tc>
      </w:tr>
    </w:tbl>
    <w:p>
      <w:pPr>
        <w:jc w:val="both"/>
      </w:pPr>
    </w:p>
    <w:p>
      <w:pPr>
        <w:pStyle w:val="principal"/>
        <w:jc w:val="both"/>
      </w:pPr>
      <w:r>
        <w:t xml:space="preserve">          Acontece, que o valor cobrado pertinente à COSIP não estava de acordo com a faixa de consumo de energia elétrica e os valores constantes da Tabela I (Anexo 01), da Lei supracitada.</w:t>
      </w:r>
    </w:p>
    <w:p>
      <w:pPr>
        <w:jc w:val="both"/>
      </w:pPr>
    </w:p>
    <w:p>
      <w:pPr>
        <w:pStyle w:val="principal"/>
        <w:jc w:val="both"/>
      </w:pPr>
      <w:r>
        <w:t xml:space="preserve">          Vale salientar, que referente ao exercício de 2017, foram constatados 84.778 (oitenta e quatro mil, setecentos e setenta e oito) faturas aos quais o valor da COSIP foi cobrado pela concessionária em desacordo com a Tabela I, da Lei nº 005/2003, causando um prejuízo ao município no valor de R$ 498.673,02 (quatrocentos e noventa e oito mil, seiscentos e setenta e três reais e dois centavos), não corrigidos e atualizados monetariamente.</w:t>
      </w:r>
    </w:p>
    <w:p>
      <w:pPr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50"/>
        <w:gridCol w:w="615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DATA FATURAMENTO</w:t>
            </w:r>
          </w:p>
        </w:tc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COSIP NÃO RECOLHIDA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50"/>
        <w:gridCol w:w="615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01/01/2022</w:t>
            </w:r>
          </w:p>
        </w:tc>
        <w:tc>
          <w:tcPr>
            <w:tcW w:type="dxa" w:w="1200"/>
          </w:tcPr>
          <w:p>
            <w:pPr>
              <w:pStyle w:val="11-normal"/>
              <w:jc w:val="right"/>
            </w:pPr>
            <w:r>
              <w:t xml:space="preserve">R$1.500,00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50"/>
        <w:gridCol w:w="6150"/>
      </w:tblGrid>
      <w:tr>
        <w:tc>
          <w:tcPr>
            <w:tcW w:type="dxa" w:w="1200"/>
          </w:tcPr>
          <w:p>
            <w:pPr>
              <w:pStyle w:val="11-bold"/>
              <w:jc w:val="center"/>
            </w:pPr>
            <w:r>
              <w:t xml:space="preserve">TOTAL</w:t>
            </w:r>
          </w:p>
        </w:tc>
        <w:tc>
          <w:tcPr>
            <w:tcW w:type="dxa" w:w="1200"/>
          </w:tcPr>
          <w:p>
            <w:pPr>
              <w:pStyle w:val="11-bold"/>
              <w:jc w:val="right"/>
            </w:pPr>
            <w:r>
              <w:t xml:space="preserve">R$1.500,00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Segue em anexo planilha com a relação das Unidades Consumidoras (Anexo 02), referente ao exercício de 2017 aos quais o valor cobrado pertinente à COSIP não estava de acordo com a faixa de consumo de energia elétrica e os valores constantes da Tabela I.</w:t>
      </w:r>
    </w:p>
    <w:p>
      <w:pPr>
        <w:pStyle w:val="principal"/>
        <w:jc w:val="both"/>
      </w:pP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DATA FATURAMENTO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COSIP NÃO RECOLHIDA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COSIP CORRIGIDA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JUROS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MULTA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TOTAL CRÉDITO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01/01/2017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R$ 41.288,80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R$11.280,00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  -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R$59.288,80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683.498,03 (seiscentos e oitenta e três mil, quatrocentos e noventa e oito reais e três centavos),</w:t>
      </w:r>
    </w:p>
    <w:p>
      <w:pPr>
        <w:pStyle w:val="principal"/>
        <w:jc w:val="both"/>
      </w:pP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2. PENALIDADE E DISPOSITIVO LEGAL INFRINGIDO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Por tudo que foi visto, foi verificado, através de procedimento fiscal apropriado, através do Termo de Início de Ação Fiscal nº 001.0102.1.2202208/2021, que a autuada, no exercício de 2017, lançou a cobrança  84.778 (oitenta e quatro mil, setecentos e setenta e oito) contribuintes da COSIP valores inferiores aos valores correspondentes a faixa de consumo de energia previsto prevista na Tabela I da Lei nº 005/2003, causando ao erário municipal um prejuízo de R$ 498.673,02 (quatrocentos e noventa e oito mil, seiscentos e setenta e três reais e dois centavos).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Como o fato constitui infração ao disposto no(s) Art. 4ª, da Lei nº 005/2003, o autuado incorre na penalidade consignada no(s) termo(s) do(a) Alínea a.4, do Inciso II, do Art. 479, ambos da Lei Municipal n° 371/2017.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00"/>
      </w:tblGrid>
      <w:tr>
        <w:tc>
          <w:tcPr>
            <w:tcW w:type="dxa" w:w="1200"/>
          </w:tcPr>
          <w:p>
            <w:pPr>
              <w:pStyle w:val="12-bold"/>
              <w:jc w:val="left"/>
            </w:pPr>
            <w:r>
              <w:t xml:space="preserve"> 3. DEMONSTRATIVO DO CÁLCULO DO VALOR APURADO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       Sendo assim, a fazenda municipal cuidou em realizar a atualização e a correção monetária dos valores da(s) Taxa(s), considerando todo(s) o(s) estabelecimento(s).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0"/>
        <w:gridCol w:w="15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DATA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Lançamento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Taxa valor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Correção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Juros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Multa de Mora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Subtotal Lançamento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0"/>
        <w:gridCol w:w="1500"/>
        <w:gridCol w:w="1500"/>
        <w:gridCol w:w="1500"/>
        <w:gridCol w:w="1500"/>
        <w:gridCol w:w="1500"/>
        <w:gridCol w:w="1500"/>
      </w:tblGrid>
      <w:tr>
        <w:tc>
          <w:tcPr>
            <w:tcW w:type="dxa" w:w="800"/>
          </w:tcPr>
          <w:p>
            <w:pPr>
              <w:pStyle w:val="10-bold"/>
              <w:jc w:val="center"/>
            </w:pPr>
            <w:r>
              <w:t xml:space="preserve">2016</w:t>
            </w:r>
          </w:p>
        </w:tc>
        <w:tc>
          <w:tcPr>
            <w:tcW w:type="dxa" w:w="500"/>
          </w:tcPr>
          <w:p>
            <w:pPr>
              <w:pStyle w:val="10-bold"/>
              <w:jc w:val="center"/>
            </w:pPr>
            <w:r>
              <w:t xml:space="preserve">01/01/2017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R$11.280,00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R$15.280,00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R$5.280,00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  -</w:t>
            </w:r>
          </w:p>
        </w:tc>
        <w:tc>
          <w:tcPr>
            <w:tcW w:type="dxa" w:w="500"/>
          </w:tcPr>
          <w:p>
            <w:pPr>
              <w:pStyle w:val="10-normal"/>
              <w:jc w:val="center"/>
            </w:pPr>
            <w:r>
              <w:t xml:space="preserve">R$20.280,00</w:t>
            </w:r>
          </w:p>
        </w:tc>
      </w:tr>
    </w:tbl>
    <w:sectPr>
      <w:headerReference w:type="first" r:id="rId5"/>
      <w:pgSz w:w="11906" w:h="16838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r>
    <w:rPr>
      <w:color w:val="000000"/>
      <w:rStyle w:val="principal"/>
    </w:rPr>
    <w:t xml:space="preserve">___________________________________________________________________________</w:t>
  </w:r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rincipal">
    <w:name w:val="principal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</w:rPr>
  </w:style>
  <w:style w:type="paragraph" w:styleId="principal-marcado">
    <w:name w:val="principal-marcado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  <w:highlight w:val="yellow"/>
      <w:highlightCs w:val="yellow"/>
    </w:rPr>
  </w:style>
  <w:style w:type="paragraph" w:styleId="12-bold">
    <w:name w:val="12-bold"/>
    <w:basedOn w:val="Normal"/>
    <w:next w:val="Normal"/>
    <w:qFormat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11-bold">
    <w:name w:val="11-bold"/>
    <w:basedOn w:val="Normal"/>
    <w:next w:val="Normal"/>
    <w:qFormat/>
    <w:rPr>
      <w:b/>
      <w:bCs/>
      <w:color w:val="000000"/>
      <w:sz w:val="22"/>
      <w:szCs w:val="22"/>
      <w:rFonts w:ascii="Times New Roman" w:cs="Times New Roman" w:eastAsia="Times New Roman" w:hAnsi="Times New Roman"/>
    </w:rPr>
  </w:style>
  <w:style w:type="paragraph" w:styleId="11-normal">
    <w:name w:val="11-normal"/>
    <w:basedOn w:val="Normal"/>
    <w:next w:val="Normal"/>
    <w:qFormat/>
    <w:rPr>
      <w:color w:val="000000"/>
      <w:sz w:val="22"/>
      <w:szCs w:val="22"/>
      <w:rFonts w:ascii="Times New Roman" w:cs="Times New Roman" w:eastAsia="Times New Roman" w:hAnsi="Times New Roman"/>
    </w:rPr>
  </w:style>
  <w:style w:type="paragraph" w:styleId="10-bold">
    <w:name w:val="10-bold"/>
    <w:basedOn w:val="Normal"/>
    <w:next w:val="Normal"/>
    <w:qFormat/>
    <w:rPr>
      <w:b/>
      <w:bCs/>
      <w:color w:val="000000"/>
      <w:sz w:val="20"/>
      <w:szCs w:val="20"/>
      <w:rFonts w:ascii="Times New Roman" w:cs="Times New Roman" w:eastAsia="Times New Roman" w:hAnsi="Times New Roman"/>
    </w:rPr>
  </w:style>
  <w:style w:type="paragraph" w:styleId="10-normal">
    <w:name w:val="10-normal"/>
    <w:basedOn w:val="Normal"/>
    <w:next w:val="Normal"/>
    <w:qFormat/>
    <w:rPr>
      <w:color w:val="000000"/>
      <w:sz w:val="20"/>
      <w:szCs w:val="20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2022-06-15T02:47:25.871Z</dcterms:created>
  <dcterms:modified xsi:type="dcterms:W3CDTF">2022-06-15T02:47:25.871Z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