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50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Sntiago,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Unit Testing, Testing, Performance Optimization,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8" w:name="profiles"/>
    <w:bookmarkStart w:id="37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p>
      <w:pPr>
        <w:pStyle w:val="BodyText"/>
      </w:pPr>
      <w:r>
        <w:t xml:space="preserve">x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6"/>
      <w:hyperlink r:id="rId36">
        <w:r>
          <w:rPr>
            <w:rStyle w:val="Hyperlink"/>
          </w:rPr>
          <w:t xml:space="preserve">x.com/fmarcosdev</w:t>
        </w:r>
      </w:hyperlink>
    </w:p>
    <w:bookmarkEnd w:id="37"/>
    <w:bookmarkEnd w:id="38"/>
    <w:bookmarkStart w:id="40" w:name="certifications"/>
    <w:bookmarkStart w:id="39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9"/>
    <w:bookmarkEnd w:id="40"/>
    <w:bookmarkStart w:id="49" w:name="projects"/>
    <w:bookmarkStart w:id="48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 El frontend se conecta a un ecosistema de microservicios con patrón BFF: api.gateway (NestJS) actúa como único punto de entrada orquestando api.resume y api.blog (Strapi CMS), cada servicio deployado y escalable independientemente.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7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2026-06-10T12:17:35Z</dcterms:created>
  <dcterms:modified xsi:type="dcterms:W3CDTF">2026-06-10T12:17:35Z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