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1" w:name="ai-工具使用详情支撑材料"/>
      <w:bookmarkEnd w:id="21"/>
      <w:r>
        <w:t xml:space="preserve">AI 工具使用详情（支撑材料）</w:t>
      </w:r>
    </w:p>
    <w:p>
      <w:pPr>
        <w:pStyle w:val="FirstParagraph"/>
      </w:pPr>
      <w:r>
        <w:t xml:space="preserve">本文件为《全国大学生数学建模竞赛人工智能工具使用规定（2026 年试行）》第 4 条所要求的支撑材料。</w:t>
      </w:r>
    </w:p>
    <w:p>
      <w:pPr>
        <w:pStyle w:val="Heading2"/>
      </w:pPr>
      <w:bookmarkStart w:id="22" w:name="一总述"/>
      <w:bookmarkEnd w:id="22"/>
      <w:r>
        <w:t xml:space="preserve">一、总述</w:t>
      </w:r>
    </w:p>
    <w:p>
      <w:pPr>
        <w:pStyle w:val="FirstParagraph"/>
      </w:pPr>
      <w:r>
        <w:t xml:space="preserve">本队在竞赛期间（2026 年 9 月 10 日 18 时至论文提交）使用了 AI 工具辅助部分环节，原则如下：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队伍主导</w:t>
      </w:r>
      <w:r>
        <w:t xml:space="preserve">：建模思路、策略方案、参数取值、实验安排均由参赛队讨论确定并执行，AI 仅在队伍指定的范围内提供辅助；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公开透明</w:t>
      </w:r>
      <w:r>
        <w:t xml:space="preserve">：全部使用环节如实申报；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逐项核验</w:t>
      </w:r>
      <w:r>
        <w:t xml:space="preserve">：AI 参与产出的内容均经队员人工审查，其中论文全部实测数据与官方模拟器日志逐条对账，未经核验的内容不进入论文。</w:t>
      </w:r>
    </w:p>
    <w:p>
      <w:pPr>
        <w:pStyle w:val="Heading2"/>
      </w:pPr>
      <w:bookmarkStart w:id="23" w:name="二所用-ai-工具"/>
      <w:bookmarkEnd w:id="23"/>
      <w:r>
        <w:t xml:space="preserve">二、所用 AI 工具</w:t>
      </w:r>
    </w:p>
    <w:tbl>
      <w:tblPr>
        <w:tblStyle w:val="TableNormal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序号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工具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版本/型号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开发机构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使用日期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GLM 大模型</w:t>
            </w:r>
          </w:p>
        </w:tc>
        <w:tc>
          <w:p>
            <w:pPr>
              <w:pStyle w:val="Compact"/>
              <w:jc w:val="left"/>
            </w:pPr>
            <w:r>
              <w:t xml:space="preserve">2026 年 9 月在用版本</w:t>
            </w:r>
          </w:p>
        </w:tc>
        <w:tc>
          <w:p>
            <w:pPr>
              <w:pStyle w:val="Compact"/>
              <w:jc w:val="left"/>
            </w:pPr>
            <w:r>
              <w:t xml:space="preserve">智谱</w:t>
            </w:r>
          </w:p>
        </w:tc>
        <w:tc>
          <w:p>
            <w:pPr>
              <w:pStyle w:val="Compact"/>
              <w:jc w:val="left"/>
            </w:pPr>
            <w:r>
              <w:t xml:space="preserve">2026-09-10 至 2026-09-12</w:t>
            </w:r>
          </w:p>
        </w:tc>
      </w:tr>
    </w:tbl>
    <w:p>
      <w:pPr>
        <w:pStyle w:val="BodyText"/>
      </w:pPr>
      <w:r>
        <w:t xml:space="preserve">除上述模型外，未使用其他 AI 工具。竞赛资源（官方模拟器、附件 1/2）由竞赛组委会提供，未通过 AI 下载任何外部数据集或代码库。</w:t>
      </w:r>
    </w:p>
    <w:p>
      <w:pPr>
        <w:pStyle w:val="Heading2"/>
      </w:pPr>
      <w:bookmarkStart w:id="24" w:name="三具体使用目的和环节"/>
      <w:bookmarkEnd w:id="24"/>
      <w:r>
        <w:t xml:space="preserve">三、具体使用目的和环节</w:t>
      </w:r>
    </w:p>
    <w:tbl>
      <w:tblPr>
        <w:tblStyle w:val="TableNormal"/>
        <w:tblW w:type="pct" w:w="833.3333333333333"/>
        <w:tblLook w:firstRow="1"/>
      </w:tblPr>
      <w:tblGrid>
        <w:gridCol w:w="440"/>
        <w:gridCol w:w="440"/>
        <w:gridCol w:w="4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环节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AI 承担的工作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队伍承担的工作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建模与策略设计</w:t>
            </w:r>
          </w:p>
        </w:tc>
        <w:tc>
          <w:p>
            <w:pPr>
              <w:pStyle w:val="Compact"/>
              <w:jc w:val="left"/>
            </w:pPr>
            <w:r>
              <w:t xml:space="preserve">应队伍提问梳理题目条件、介绍测向定位类问题的常规方法，供讨论参考；仅用于拓宽思路</w:t>
            </w:r>
          </w:p>
        </w:tc>
        <w:tc>
          <w:p>
            <w:pPr>
              <w:pStyle w:val="Compact"/>
              <w:jc w:val="left"/>
            </w:pPr>
            <w:r>
              <w:t xml:space="preserve">建模框架、网格步长、置信门槛、抑制阈值等全部推导与决策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程序开发与测试</w:t>
            </w:r>
          </w:p>
        </w:tc>
        <w:tc>
          <w:p>
            <w:pPr>
              <w:pStyle w:val="Compact"/>
              <w:jc w:val="left"/>
            </w:pPr>
            <w:r>
              <w:t xml:space="preserve">辅助排查代码语法与逻辑 bug、完善注释与日志输出格式</w:t>
            </w:r>
          </w:p>
        </w:tc>
        <w:tc>
          <w:p>
            <w:pPr>
              <w:pStyle w:val="Compact"/>
              <w:jc w:val="left"/>
            </w:pPr>
            <w:r>
              <w:t xml:space="preserve">策略流程设计、代码审查、全部 12 局演练与正式测试的操作执行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文献检索与引用核对</w:t>
            </w:r>
          </w:p>
        </w:tc>
        <w:tc>
          <w:p>
            <w:pPr>
              <w:pStyle w:val="Compact"/>
              <w:jc w:val="left"/>
            </w:pPr>
            <w:r>
              <w:t xml:space="preserve">按队伍给定的主题线索检索文献信息，联网核对作者、期刊、卷期、ISBN</w:t>
            </w:r>
          </w:p>
        </w:tc>
        <w:tc>
          <w:p>
            <w:pPr>
              <w:pStyle w:val="Compact"/>
              <w:jc w:val="left"/>
            </w:pPr>
            <w:r>
              <w:t xml:space="preserve">确认文献真实存在且与模型相关，决定引用位置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数据核对</w:t>
            </w:r>
          </w:p>
        </w:tc>
        <w:tc>
          <w:p>
            <w:pPr>
              <w:pStyle w:val="Compact"/>
              <w:jc w:val="left"/>
            </w:pPr>
            <w:r>
              <w:t xml:space="preserve">辅助编写统计脚本，从 12 份运行日志中汇总清除数、交会散布、定位清除时间等指标</w:t>
            </w:r>
          </w:p>
        </w:tc>
        <w:tc>
          <w:p>
            <w:pPr>
              <w:pStyle w:val="Compact"/>
              <w:jc w:val="left"/>
            </w:pPr>
            <w:r>
              <w:t xml:space="preserve">与模拟器官方结果文件逐局对账，抽查关键数字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论文语言与排版</w:t>
            </w:r>
          </w:p>
        </w:tc>
        <w:tc>
          <w:p>
            <w:pPr>
              <w:pStyle w:val="Compact"/>
              <w:jc w:val="left"/>
            </w:pPr>
            <w:r>
              <w:t xml:space="preserve">语句通顺性润色、LaTeX 公式排版、表格格式、参考文献格式统一（GB/T 7714）</w:t>
            </w:r>
          </w:p>
        </w:tc>
        <w:tc>
          <w:p>
            <w:pPr>
              <w:pStyle w:val="Compact"/>
              <w:jc w:val="left"/>
            </w:pPr>
            <w:r>
              <w:t xml:space="preserve">复核全部推导、结论与表述，定稿</w:t>
            </w:r>
          </w:p>
        </w:tc>
      </w:tr>
    </w:tbl>
    <w:p>
      <w:pPr>
        <w:pStyle w:val="BodyText"/>
      </w:pPr>
      <w:r>
        <w:t xml:space="preserve">核心建模与分析（问题 1 的 Jung 定理判定、问题 2 的误差传播准则、问题 3/4 的网格密度与置信门槛推导、v2.1 抑制阈值论证）由队伍独立完成，未作为 AI 产出提交。</w:t>
      </w:r>
    </w:p>
    <w:p>
      <w:pPr>
        <w:pStyle w:val="Heading2"/>
      </w:pPr>
      <w:bookmarkStart w:id="25" w:name="四主要提示方式与使用过程说明"/>
      <w:bookmarkEnd w:id="25"/>
      <w:r>
        <w:t xml:space="preserve">四、主要提示方式与使用过程说明</w:t>
      </w:r>
    </w:p>
    <w:p>
      <w:pPr>
        <w:pStyle w:val="FirstParagraph"/>
      </w:pPr>
      <w:r>
        <w:t xml:space="preserve">以"给出上下文 + 明确任务 + 要求可核验结果"的方式提问，典型示例如下：</w:t>
      </w:r>
    </w:p>
    <w:p>
      <w:pPr>
        <w:pStyle w:val="Compact"/>
        <w:numPr>
          <w:numId w:val="1002"/>
          <w:ilvl w:val="0"/>
        </w:numPr>
      </w:pPr>
      <w:r>
        <w:t xml:space="preserve">"无线电监测里对未知位置信号源定位，常用哪几类方法？各需要什么观测量？"——AI 列举测向交会、到达时间差等方法的概貌，队伍据此讨论确定采用测向交会路线，具体建模自行完成。</w:t>
      </w:r>
    </w:p>
    <w:p>
      <w:pPr>
        <w:pStyle w:val="Compact"/>
        <w:numPr>
          <w:numId w:val="1002"/>
          <w:ilvl w:val="0"/>
        </w:numPr>
      </w:pPr>
      <w:r>
        <w:t xml:space="preserve">"客户端这段失败重试逻辑偶发死循环，帮我定位问题并给出修正。"——定位到幂等键复用缺陷，队员确认后修改。</w:t>
      </w:r>
    </w:p>
    <w:p>
      <w:pPr>
        <w:pStyle w:val="Compact"/>
        <w:numPr>
          <w:numId w:val="1002"/>
          <w:ilvl w:val="0"/>
        </w:numPr>
      </w:pPr>
      <w:r>
        <w:t xml:space="preserve">"核对以下 6 条文献的出版信息（卷期、页码、出版社、ISBN），指出有出入的。"——AI 返回核对结果，队员逐条复核后写入参考文献。</w:t>
      </w:r>
    </w:p>
    <w:p>
      <w:pPr>
        <w:pStyle w:val="Compact"/>
        <w:numPr>
          <w:numId w:val="1002"/>
          <w:ilvl w:val="0"/>
        </w:numPr>
      </w:pPr>
      <w:r>
        <w:t xml:space="preserve">"写一个小脚本统计这 12 份日志每局的清除频道数和 spread 均值，输出成表格。"——脚本产出的数字全部再经人工对账。</w:t>
      </w:r>
    </w:p>
    <w:p>
      <w:pPr>
        <w:pStyle w:val="Compact"/>
        <w:numPr>
          <w:numId w:val="1002"/>
          <w:ilvl w:val="0"/>
        </w:numPr>
      </w:pPr>
      <w:r>
        <w:t xml:space="preserve">"这段话读起来不顺，帮我理顺句子，不要改动数字和术语。"——润色结果经队员确认后采用。</w:t>
      </w:r>
    </w:p>
    <w:p>
      <w:pPr>
        <w:pStyle w:val="Heading2"/>
      </w:pPr>
      <w:bookmarkStart w:id="26" w:name="五对-ai-输出的采纳人工修改和核验的主要情况"/>
      <w:bookmarkEnd w:id="26"/>
      <w:r>
        <w:t xml:space="preserve">五、对 AI 输出的采纳、人工修改和核验的主要情况</w:t>
      </w:r>
    </w:p>
    <w:p>
      <w:pPr>
        <w:pStyle w:val="Heading3"/>
      </w:pPr>
      <w:bookmarkStart w:id="27" w:name="核验流程"/>
      <w:bookmarkEnd w:id="27"/>
      <w:r>
        <w:t xml:space="preserve">5.1 核验流程</w:t>
      </w:r>
    </w:p>
    <w:p>
      <w:pPr>
        <w:pStyle w:val="Compact"/>
        <w:numPr>
          <w:numId w:val="1003"/>
          <w:ilvl w:val="0"/>
        </w:numPr>
      </w:pPr>
      <w:r>
        <w:rPr>
          <w:b/>
        </w:rPr>
        <w:t xml:space="preserve">代码</w:t>
      </w:r>
      <w:r>
        <w:t xml:space="preserve">：AI 参与调试的代码均由队员阅读相关逻辑后合并；策略行为以模拟器实测为准，演练不通过不进入正式测试；</w:t>
      </w:r>
    </w:p>
    <w:p>
      <w:pPr>
        <w:pStyle w:val="Compact"/>
        <w:numPr>
          <w:numId w:val="1003"/>
          <w:ilvl w:val="0"/>
        </w:numPr>
      </w:pPr>
      <w:r>
        <w:rPr>
          <w:b/>
        </w:rPr>
        <w:t xml:space="preserve">数据</w:t>
      </w:r>
      <w:r>
        <w:t xml:space="preserve">：论文中每一个数字均可回溯到具体日志文件（附录 B 给出 12 局日志对照表）；正式局源数按"零示向度频道 = 空频道"判据推断，该判据已在 6 局演练中经官方源数验证；</w:t>
      </w:r>
    </w:p>
    <w:p>
      <w:pPr>
        <w:pStyle w:val="Compact"/>
        <w:numPr>
          <w:numId w:val="1003"/>
          <w:ilvl w:val="0"/>
        </w:numPr>
      </w:pPr>
      <w:r>
        <w:rPr>
          <w:b/>
        </w:rPr>
        <w:t xml:space="preserve">方法</w:t>
      </w:r>
      <w:r>
        <w:t xml:space="preserve">：3 次正式测试构成留出集，代码在正式测试前冻结，杜绝以正式结果反推调参；</w:t>
      </w:r>
    </w:p>
    <w:p>
      <w:pPr>
        <w:pStyle w:val="Compact"/>
        <w:numPr>
          <w:numId w:val="1003"/>
          <w:ilvl w:val="0"/>
        </w:numPr>
      </w:pPr>
      <w:r>
        <w:rPr>
          <w:b/>
        </w:rPr>
        <w:t xml:space="preserve">文本</w:t>
      </w:r>
      <w:r>
        <w:t xml:space="preserve">：全稿经三遍审查（数字一致性、引用索引顺序、公式复核），AI 润色的段落经队员确认后方进入定稿。</w:t>
      </w:r>
    </w:p>
    <w:p>
      <w:pPr>
        <w:pStyle w:val="Heading3"/>
      </w:pPr>
      <w:bookmarkStart w:id="28" w:name="人工发现并修正的错误实例"/>
      <w:bookmarkEnd w:id="28"/>
      <w:r>
        <w:t xml:space="preserve">5.2 人工发现并修正的错误实例</w:t>
      </w:r>
    </w:p>
    <w:p>
      <w:pPr>
        <w:pStyle w:val="FirstParagraph"/>
      </w:pPr>
      <w:r>
        <w:t xml:space="preserve">以下错误均在人工对账中发现并已修正，列出以说明核验流程的实际执行：</w:t>
      </w:r>
    </w:p>
    <w:p>
      <w:pPr>
        <w:pStyle w:val="Compact"/>
        <w:numPr>
          <w:numId w:val="1004"/>
          <w:ilvl w:val="0"/>
        </w:numPr>
      </w:pPr>
      <w:r>
        <w:t xml:space="preserve">论文早期草稿将问题 4 网格检测点数写为"约 85 个"，与实测的 69 个不符，经对日志修正；</w:t>
      </w:r>
    </w:p>
    <w:p>
      <w:pPr>
        <w:pStyle w:val="Compact"/>
        <w:numPr>
          <w:numId w:val="1004"/>
          <w:ilvl w:val="0"/>
        </w:numPr>
      </w:pPr>
      <w:r>
        <w:t xml:space="preserve">问题 3 正式局清除尝试总数曾误写为"41 次"，按日志逐局累加（14+15+13）更正为 42 次；</w:t>
      </w:r>
    </w:p>
    <w:p>
      <w:pPr>
        <w:pStyle w:val="Compact"/>
        <w:numPr>
          <w:numId w:val="1004"/>
          <w:ilvl w:val="0"/>
        </w:numPr>
      </w:pPr>
      <w:r>
        <w:t xml:space="preserve">问题 4 正式局清除尝试总数曾误写为"39 次"，按日志累加（20+12+14）更正为 46 次。</w:t>
      </w:r>
    </w:p>
    <w:p>
      <w:pPr>
        <w:pStyle w:val="Compact"/>
        <w:numPr>
          <w:numId w:val="1004"/>
          <w:ilvl w:val="0"/>
        </w:numPr>
      </w:pPr>
      <w:r>
        <w:t xml:space="preserve">问题 2 数值示例表中 φ=10°、20° 两格曾误写为 100.2 m、51.1 m，实算应为 100.5 m、51.0 m，经复核修正；</w:t>
      </w:r>
    </w:p>
    <w:p>
      <w:pPr>
        <w:pStyle w:val="Heading3"/>
      </w:pPr>
      <w:bookmarkStart w:id="29" w:name="采纳情况小结"/>
      <w:bookmarkEnd w:id="29"/>
      <w:r>
        <w:t xml:space="preserve">5.3 采纳情况小结</w:t>
      </w:r>
    </w:p>
    <w:p>
      <w:pPr>
        <w:pStyle w:val="FirstParagraph"/>
      </w:pPr>
      <w:r>
        <w:t xml:space="preserve">AI 参与产出的内容：经队员确认后采纳；全部核心数字以日志与官方结果文件为准；未经实测验证的建议一律不采纳。</w:t>
      </w:r>
    </w:p>
    <w:p>
      <w:pPr>
        <w:pStyle w:val="Heading2"/>
      </w:pPr>
      <w:bookmarkStart w:id="30" w:name="六承诺"/>
      <w:bookmarkEnd w:id="30"/>
      <w:r>
        <w:t xml:space="preserve">六、承诺</w:t>
      </w:r>
    </w:p>
    <w:p>
      <w:pPr>
        <w:pStyle w:val="FirstParagraph"/>
      </w:pPr>
      <w:r>
        <w:t xml:space="preserve">本参赛队确认：核心建模与分析由参赛队独立完成，上述 AI 参与内容均已经过队员逐项人工审查与核实，论文所述全部实测结果可由随论文提交的日志支撑材料完整复现。队员对本申报的真实性负责。</w:t>
      </w:r>
    </w:p>
    <w:p>
      <w:pPr>
        <w:pStyle w:val="BodyText"/>
      </w:pPr>
      <w:r>
        <w:t xml:space="preserve">队员签名：＿＿＿＿＿＿　＿＿＿＿＿＿　＿＿＿＿＿＿</w:t>
      </w:r>
    </w:p>
    <w:p>
      <w:pPr>
        <w:pStyle w:val="BodyText"/>
      </w:pPr>
      <w:r>
        <w:t xml:space="preserve">日期：2026 年 9 月＿＿日</w:t>
      </w:r>
    </w:p>
    <w:sectPr/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0">
    <w:nsid w:val="e17f69ba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abstractNum w:abstractNumId="990">
    <w:nsid w:val="4fd65a4b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abstractNum w:abstractNumId="99411">
    <w:nsid w:val="c13a6474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</w:abstractNum>
  <w:num w:numId="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FigureWithCaption">
    <w:name w:val="Figure with Caption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terms:created xsi:type="dcterms:W3CDTF">2026-09-13T10:04:50Z</dcterms:created>
  <dcterms:modified xsi:type="dcterms:W3CDTF">2026-09-13T10:04:50Z</dcterms:modified>
</cp:coreProperties>
</file>