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rPr>
          <w:rFonts w:hint="eastAsia" w:ascii="黑体" w:hAnsi="黑体" w:eastAsia="黑体" w:cs="黑体"/>
          <w:i w:val="0"/>
          <w:iCs w:val="0"/>
          <w:caps w:val="0"/>
          <w:color w:val="000000"/>
          <w:spacing w:val="0"/>
          <w:sz w:val="32"/>
          <w:szCs w:val="32"/>
        </w:rPr>
      </w:pPr>
      <w:bookmarkStart w:id="0" w:name="_GoBack"/>
      <w:r>
        <w:rPr>
          <w:rFonts w:hint="eastAsia" w:ascii="黑体" w:hAnsi="黑体" w:eastAsia="黑体" w:cs="黑体"/>
          <w:i w:val="0"/>
          <w:iCs w:val="0"/>
          <w:caps w:val="0"/>
          <w:color w:val="000000"/>
          <w:spacing w:val="0"/>
          <w:sz w:val="32"/>
          <w:szCs w:val="32"/>
          <w:bdr w:val="none" w:color="auto" w:sz="0" w:space="0"/>
        </w:rPr>
        <w:t>证券经纪业务管理实施细则</w:t>
      </w:r>
    </w:p>
    <w:bookmarkEnd w:id="0"/>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0" w:lineRule="atLeast"/>
        <w:ind w:left="0" w:right="0"/>
        <w:jc w:val="center"/>
        <w:rPr>
          <w:rFonts w:hint="eastAsia" w:asciiTheme="minorEastAsia" w:hAnsiTheme="minorEastAsia" w:eastAsiaTheme="minorEastAsia" w:cstheme="minorEastAsia"/>
          <w:i w:val="0"/>
          <w:iCs w:val="0"/>
          <w:sz w:val="24"/>
          <w:szCs w:val="24"/>
        </w:rPr>
      </w:pPr>
      <w:r>
        <w:rPr>
          <w:rFonts w:hint="eastAsia" w:asciiTheme="minorEastAsia" w:hAnsiTheme="minorEastAsia" w:eastAsiaTheme="minorEastAsia" w:cstheme="minorEastAsia"/>
          <w:i w:val="0"/>
          <w:iCs w:val="0"/>
          <w:caps w:val="0"/>
          <w:color w:val="333333"/>
          <w:spacing w:val="0"/>
          <w:kern w:val="0"/>
          <w:sz w:val="24"/>
          <w:szCs w:val="24"/>
          <w:bdr w:val="none" w:color="auto" w:sz="0" w:space="0"/>
          <w:lang w:val="en-US" w:eastAsia="zh-CN" w:bidi="ar"/>
        </w:rPr>
        <w:t>（协会第七届理事会第16次会议表决通过,2023年6月9日发布并生效）</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0" w:lineRule="atLeast"/>
        <w:ind w:left="0" w:right="0"/>
        <w:jc w:val="center"/>
        <w:rPr>
          <w:rFonts w:hint="eastAsia" w:asciiTheme="minorEastAsia" w:hAnsiTheme="minorEastAsia" w:eastAsiaTheme="minorEastAsia" w:cstheme="minorEastAsia"/>
          <w:i w:val="0"/>
          <w:iCs w:val="0"/>
          <w:sz w:val="28"/>
          <w:szCs w:val="28"/>
        </w:rPr>
      </w:pPr>
      <w:r>
        <w:rPr>
          <w:rFonts w:hint="eastAsia" w:asciiTheme="minorEastAsia" w:hAnsiTheme="minorEastAsia" w:eastAsiaTheme="minorEastAsia" w:cstheme="minorEastAsia"/>
          <w:i w:val="0"/>
          <w:iCs w:val="0"/>
          <w:caps w:val="0"/>
          <w:color w:val="333333"/>
          <w:spacing w:val="0"/>
          <w:kern w:val="0"/>
          <w:sz w:val="28"/>
          <w:szCs w:val="28"/>
          <w:bdr w:val="none" w:color="auto" w:sz="0" w:space="0"/>
          <w:lang w:val="en-US" w:eastAsia="zh-CN" w:bidi="ar"/>
        </w:rPr>
        <w:t> </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0" w:lineRule="atLeast"/>
        <w:ind w:left="0" w:right="0"/>
        <w:jc w:val="center"/>
        <w:rPr>
          <w:rFonts w:hint="eastAsia" w:asciiTheme="minorEastAsia" w:hAnsiTheme="minorEastAsia" w:eastAsiaTheme="minorEastAsia" w:cstheme="minorEastAsia"/>
          <w:i w:val="0"/>
          <w:iCs w:val="0"/>
          <w:sz w:val="28"/>
          <w:szCs w:val="28"/>
        </w:rPr>
      </w:pPr>
      <w:r>
        <w:rPr>
          <w:rFonts w:hint="eastAsia" w:asciiTheme="minorEastAsia" w:hAnsiTheme="minorEastAsia" w:eastAsiaTheme="minorEastAsia" w:cstheme="minorEastAsia"/>
          <w:b/>
          <w:bCs/>
          <w:i w:val="0"/>
          <w:iCs w:val="0"/>
          <w:caps w:val="0"/>
          <w:color w:val="333333"/>
          <w:spacing w:val="0"/>
          <w:kern w:val="0"/>
          <w:sz w:val="28"/>
          <w:szCs w:val="28"/>
          <w:bdr w:val="none" w:color="auto" w:sz="0" w:space="0"/>
          <w:lang w:val="en-US" w:eastAsia="zh-CN" w:bidi="ar"/>
        </w:rPr>
        <w:t>第一章 总则</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0" w:lineRule="atLeast"/>
        <w:ind w:left="0" w:right="0" w:firstLine="482"/>
        <w:jc w:val="both"/>
        <w:rPr>
          <w:rFonts w:hint="eastAsia" w:asciiTheme="minorEastAsia" w:hAnsiTheme="minorEastAsia" w:eastAsiaTheme="minorEastAsia" w:cstheme="minorEastAsia"/>
          <w:i w:val="0"/>
          <w:iCs w:val="0"/>
          <w:sz w:val="28"/>
          <w:szCs w:val="28"/>
        </w:rPr>
      </w:pPr>
      <w:r>
        <w:rPr>
          <w:rFonts w:hint="eastAsia" w:asciiTheme="minorEastAsia" w:hAnsiTheme="minorEastAsia" w:eastAsiaTheme="minorEastAsia" w:cstheme="minorEastAsia"/>
          <w:b/>
          <w:bCs/>
          <w:i w:val="0"/>
          <w:iCs w:val="0"/>
          <w:caps w:val="0"/>
          <w:color w:val="333333"/>
          <w:spacing w:val="0"/>
          <w:kern w:val="0"/>
          <w:sz w:val="28"/>
          <w:szCs w:val="28"/>
          <w:bdr w:val="none" w:color="auto" w:sz="0" w:space="0"/>
          <w:lang w:val="en-US" w:eastAsia="zh-CN" w:bidi="ar"/>
        </w:rPr>
        <w:t>第一条</w:t>
      </w:r>
      <w:r>
        <w:rPr>
          <w:rFonts w:hint="eastAsia" w:asciiTheme="minorEastAsia" w:hAnsiTheme="minorEastAsia" w:eastAsiaTheme="minorEastAsia" w:cstheme="minorEastAsia"/>
          <w:i w:val="0"/>
          <w:iCs w:val="0"/>
          <w:caps w:val="0"/>
          <w:color w:val="333333"/>
          <w:spacing w:val="0"/>
          <w:kern w:val="0"/>
          <w:sz w:val="28"/>
          <w:szCs w:val="28"/>
          <w:bdr w:val="none" w:color="auto" w:sz="0" w:space="0"/>
          <w:lang w:val="en-US" w:eastAsia="zh-CN" w:bidi="ar"/>
        </w:rPr>
        <w:t> 为引导证券公司规范开展证券经纪业务，提升证券公司证券经纪业务管理水平，根据《中华人民共和国证券法》《中华人民共和国反洗钱法》《中华人民共和国个人信息保护法》《证券公司监督管理条例》《证券经纪业务管理办法》（以下简称《办法》）等相关法律法规、监管规定，制定本细则。</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0" w:lineRule="atLeast"/>
        <w:ind w:left="0" w:right="0" w:firstLine="482"/>
        <w:jc w:val="both"/>
        <w:rPr>
          <w:rFonts w:hint="eastAsia" w:asciiTheme="minorEastAsia" w:hAnsiTheme="minorEastAsia" w:eastAsiaTheme="minorEastAsia" w:cstheme="minorEastAsia"/>
          <w:i w:val="0"/>
          <w:iCs w:val="0"/>
          <w:sz w:val="28"/>
          <w:szCs w:val="28"/>
        </w:rPr>
      </w:pPr>
      <w:r>
        <w:rPr>
          <w:rFonts w:hint="eastAsia" w:asciiTheme="minorEastAsia" w:hAnsiTheme="minorEastAsia" w:eastAsiaTheme="minorEastAsia" w:cstheme="minorEastAsia"/>
          <w:b/>
          <w:bCs/>
          <w:i w:val="0"/>
          <w:iCs w:val="0"/>
          <w:caps w:val="0"/>
          <w:color w:val="333333"/>
          <w:spacing w:val="0"/>
          <w:kern w:val="0"/>
          <w:sz w:val="28"/>
          <w:szCs w:val="28"/>
          <w:bdr w:val="none" w:color="auto" w:sz="0" w:space="0"/>
          <w:lang w:val="en-US" w:eastAsia="zh-CN" w:bidi="ar"/>
        </w:rPr>
        <w:t>第二条</w:t>
      </w:r>
      <w:r>
        <w:rPr>
          <w:rFonts w:hint="eastAsia" w:asciiTheme="minorEastAsia" w:hAnsiTheme="minorEastAsia" w:eastAsiaTheme="minorEastAsia" w:cstheme="minorEastAsia"/>
          <w:i w:val="0"/>
          <w:iCs w:val="0"/>
          <w:caps w:val="0"/>
          <w:color w:val="333333"/>
          <w:spacing w:val="0"/>
          <w:kern w:val="0"/>
          <w:sz w:val="28"/>
          <w:szCs w:val="28"/>
          <w:bdr w:val="none" w:color="auto" w:sz="0" w:space="0"/>
          <w:lang w:val="en-US" w:eastAsia="zh-CN" w:bidi="ar"/>
        </w:rPr>
        <w:t> 证券公司及其从业人员应当遵守相关法律法规、监管规定和自律规则，合规开展证券经纪业务，严格落实账户实名制要求，履行适当性管理、反洗钱、资金监控、异常交易管理等职责。</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0" w:lineRule="atLeast"/>
        <w:ind w:left="0" w:right="0" w:firstLine="482"/>
        <w:jc w:val="both"/>
        <w:rPr>
          <w:rFonts w:hint="eastAsia" w:asciiTheme="minorEastAsia" w:hAnsiTheme="minorEastAsia" w:eastAsiaTheme="minorEastAsia" w:cstheme="minorEastAsia"/>
          <w:i w:val="0"/>
          <w:iCs w:val="0"/>
          <w:sz w:val="28"/>
          <w:szCs w:val="28"/>
        </w:rPr>
      </w:pPr>
      <w:r>
        <w:rPr>
          <w:rFonts w:hint="eastAsia" w:asciiTheme="minorEastAsia" w:hAnsiTheme="minorEastAsia" w:eastAsiaTheme="minorEastAsia" w:cstheme="minorEastAsia"/>
          <w:b/>
          <w:bCs/>
          <w:i w:val="0"/>
          <w:iCs w:val="0"/>
          <w:caps w:val="0"/>
          <w:color w:val="333333"/>
          <w:spacing w:val="0"/>
          <w:kern w:val="0"/>
          <w:sz w:val="28"/>
          <w:szCs w:val="28"/>
          <w:bdr w:val="none" w:color="auto" w:sz="0" w:space="0"/>
          <w:lang w:val="en-US" w:eastAsia="zh-CN" w:bidi="ar"/>
        </w:rPr>
        <w:t>第三条</w:t>
      </w:r>
      <w:r>
        <w:rPr>
          <w:rFonts w:hint="eastAsia" w:asciiTheme="minorEastAsia" w:hAnsiTheme="minorEastAsia" w:eastAsiaTheme="minorEastAsia" w:cstheme="minorEastAsia"/>
          <w:i w:val="0"/>
          <w:iCs w:val="0"/>
          <w:caps w:val="0"/>
          <w:color w:val="333333"/>
          <w:spacing w:val="0"/>
          <w:kern w:val="0"/>
          <w:sz w:val="28"/>
          <w:szCs w:val="28"/>
          <w:bdr w:val="none" w:color="auto" w:sz="0" w:space="0"/>
          <w:lang w:val="en-US" w:eastAsia="zh-CN" w:bidi="ar"/>
        </w:rPr>
        <w:t> 证券公司从事证券经纪业务，应当诚实守信，切实维护投资者财产安全，保障投资者信息知情权、公平交易权等合法权益，应当遵守投资者利益优先和公平对待投资者的原则，防范公司与投资者之间、不同投资者之间的利益冲突。</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0" w:lineRule="atLeast"/>
        <w:ind w:left="0" w:right="0" w:firstLine="482"/>
        <w:jc w:val="both"/>
        <w:rPr>
          <w:rFonts w:hint="eastAsia" w:asciiTheme="minorEastAsia" w:hAnsiTheme="minorEastAsia" w:eastAsiaTheme="minorEastAsia" w:cstheme="minorEastAsia"/>
          <w:i w:val="0"/>
          <w:iCs w:val="0"/>
          <w:sz w:val="28"/>
          <w:szCs w:val="28"/>
        </w:rPr>
      </w:pPr>
      <w:r>
        <w:rPr>
          <w:rFonts w:hint="eastAsia" w:asciiTheme="minorEastAsia" w:hAnsiTheme="minorEastAsia" w:eastAsiaTheme="minorEastAsia" w:cstheme="minorEastAsia"/>
          <w:b/>
          <w:bCs/>
          <w:i w:val="0"/>
          <w:iCs w:val="0"/>
          <w:caps w:val="0"/>
          <w:color w:val="333333"/>
          <w:spacing w:val="0"/>
          <w:kern w:val="0"/>
          <w:sz w:val="28"/>
          <w:szCs w:val="28"/>
          <w:bdr w:val="none" w:color="auto" w:sz="0" w:space="0"/>
          <w:lang w:val="en-US" w:eastAsia="zh-CN" w:bidi="ar"/>
        </w:rPr>
        <w:t>第四条</w:t>
      </w:r>
      <w:r>
        <w:rPr>
          <w:rFonts w:hint="eastAsia" w:asciiTheme="minorEastAsia" w:hAnsiTheme="minorEastAsia" w:eastAsiaTheme="minorEastAsia" w:cstheme="minorEastAsia"/>
          <w:i w:val="0"/>
          <w:iCs w:val="0"/>
          <w:caps w:val="0"/>
          <w:color w:val="333333"/>
          <w:spacing w:val="0"/>
          <w:kern w:val="0"/>
          <w:sz w:val="28"/>
          <w:szCs w:val="28"/>
          <w:bdr w:val="none" w:color="auto" w:sz="0" w:space="0"/>
          <w:lang w:val="en-US" w:eastAsia="zh-CN" w:bidi="ar"/>
        </w:rPr>
        <w:t> 证券公司代理投资者开展证券交易，应当依法与投资者签订开户协议和证券交易委托代理协议，根据协议约定向投资者提供开立账户、代理证券交易、清算交收等服务。</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0" w:lineRule="atLeast"/>
        <w:ind w:left="0" w:right="0" w:firstLine="480"/>
        <w:jc w:val="both"/>
        <w:rPr>
          <w:rFonts w:hint="eastAsia" w:asciiTheme="minorEastAsia" w:hAnsiTheme="minorEastAsia" w:eastAsiaTheme="minorEastAsia" w:cstheme="minorEastAsia"/>
          <w:i w:val="0"/>
          <w:iCs w:val="0"/>
          <w:sz w:val="28"/>
          <w:szCs w:val="28"/>
        </w:rPr>
      </w:pPr>
      <w:r>
        <w:rPr>
          <w:rFonts w:hint="eastAsia" w:asciiTheme="minorEastAsia" w:hAnsiTheme="minorEastAsia" w:eastAsiaTheme="minorEastAsia" w:cstheme="minorEastAsia"/>
          <w:i w:val="0"/>
          <w:iCs w:val="0"/>
          <w:caps w:val="0"/>
          <w:color w:val="333333"/>
          <w:spacing w:val="0"/>
          <w:kern w:val="0"/>
          <w:sz w:val="28"/>
          <w:szCs w:val="28"/>
          <w:bdr w:val="none" w:color="auto" w:sz="0" w:space="0"/>
          <w:lang w:val="en-US" w:eastAsia="zh-CN" w:bidi="ar"/>
        </w:rPr>
        <w:t>开户协议和证券交易委托代理协议应当载明中国证券业协会（以下简称“协会”）发布的开户协议和证券交易委托代理协议必备条款所要求的内容。</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0" w:lineRule="atLeast"/>
        <w:ind w:left="0" w:right="0"/>
        <w:jc w:val="center"/>
        <w:rPr>
          <w:rFonts w:hint="eastAsia" w:asciiTheme="minorEastAsia" w:hAnsiTheme="minorEastAsia" w:eastAsiaTheme="minorEastAsia" w:cstheme="minorEastAsia"/>
          <w:i w:val="0"/>
          <w:iCs w:val="0"/>
          <w:sz w:val="28"/>
          <w:szCs w:val="28"/>
        </w:rPr>
      </w:pPr>
      <w:r>
        <w:rPr>
          <w:rFonts w:hint="eastAsia" w:asciiTheme="minorEastAsia" w:hAnsiTheme="minorEastAsia" w:eastAsiaTheme="minorEastAsia" w:cstheme="minorEastAsia"/>
          <w:b/>
          <w:bCs/>
          <w:i w:val="0"/>
          <w:iCs w:val="0"/>
          <w:caps w:val="0"/>
          <w:color w:val="333333"/>
          <w:spacing w:val="0"/>
          <w:kern w:val="0"/>
          <w:sz w:val="28"/>
          <w:szCs w:val="28"/>
          <w:bdr w:val="none" w:color="auto" w:sz="0" w:space="0"/>
          <w:lang w:val="en-US" w:eastAsia="zh-CN" w:bidi="ar"/>
        </w:rPr>
        <w:t>第二章 投资者管理</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0" w:lineRule="atLeast"/>
        <w:ind w:left="0" w:right="0" w:firstLine="482"/>
        <w:jc w:val="both"/>
        <w:rPr>
          <w:rFonts w:hint="eastAsia" w:asciiTheme="minorEastAsia" w:hAnsiTheme="minorEastAsia" w:eastAsiaTheme="minorEastAsia" w:cstheme="minorEastAsia"/>
          <w:i w:val="0"/>
          <w:iCs w:val="0"/>
          <w:sz w:val="28"/>
          <w:szCs w:val="28"/>
        </w:rPr>
      </w:pPr>
      <w:r>
        <w:rPr>
          <w:rFonts w:hint="eastAsia" w:asciiTheme="minorEastAsia" w:hAnsiTheme="minorEastAsia" w:eastAsiaTheme="minorEastAsia" w:cstheme="minorEastAsia"/>
          <w:b/>
          <w:bCs/>
          <w:i w:val="0"/>
          <w:iCs w:val="0"/>
          <w:caps w:val="0"/>
          <w:color w:val="333333"/>
          <w:spacing w:val="0"/>
          <w:kern w:val="0"/>
          <w:sz w:val="28"/>
          <w:szCs w:val="28"/>
          <w:bdr w:val="none" w:color="auto" w:sz="0" w:space="0"/>
          <w:lang w:val="en-US" w:eastAsia="zh-CN" w:bidi="ar"/>
        </w:rPr>
        <w:t>第五条 </w:t>
      </w:r>
      <w:r>
        <w:rPr>
          <w:rFonts w:hint="eastAsia" w:asciiTheme="minorEastAsia" w:hAnsiTheme="minorEastAsia" w:eastAsiaTheme="minorEastAsia" w:cstheme="minorEastAsia"/>
          <w:i w:val="0"/>
          <w:iCs w:val="0"/>
          <w:caps w:val="0"/>
          <w:color w:val="333333"/>
          <w:spacing w:val="0"/>
          <w:kern w:val="0"/>
          <w:sz w:val="28"/>
          <w:szCs w:val="28"/>
          <w:bdr w:val="none" w:color="auto" w:sz="0" w:space="0"/>
          <w:lang w:val="en-US" w:eastAsia="zh-CN" w:bidi="ar"/>
        </w:rPr>
        <w:t>证券公司应当按照《办法》、账户实名制、适当性管理、反洗钱及其他监管规定了解投资者信息并持续关注，发现投资者的姓名或名称、有效身份证明文件及号码等基本信息和身份证明文件有效期等情况需要变更的，应当要求投资者及时办理变更手续。</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0" w:lineRule="atLeast"/>
        <w:ind w:left="0" w:right="0" w:firstLine="480"/>
        <w:jc w:val="both"/>
        <w:rPr>
          <w:rFonts w:hint="eastAsia" w:asciiTheme="minorEastAsia" w:hAnsiTheme="minorEastAsia" w:eastAsiaTheme="minorEastAsia" w:cstheme="minorEastAsia"/>
          <w:i w:val="0"/>
          <w:iCs w:val="0"/>
          <w:sz w:val="28"/>
          <w:szCs w:val="28"/>
        </w:rPr>
      </w:pPr>
      <w:r>
        <w:rPr>
          <w:rFonts w:hint="eastAsia" w:asciiTheme="minorEastAsia" w:hAnsiTheme="minorEastAsia" w:eastAsiaTheme="minorEastAsia" w:cstheme="minorEastAsia"/>
          <w:i w:val="0"/>
          <w:iCs w:val="0"/>
          <w:caps w:val="0"/>
          <w:color w:val="333333"/>
          <w:spacing w:val="0"/>
          <w:kern w:val="0"/>
          <w:sz w:val="28"/>
          <w:szCs w:val="28"/>
          <w:bdr w:val="none" w:color="auto" w:sz="0" w:space="0"/>
          <w:lang w:val="en-US" w:eastAsia="zh-CN" w:bidi="ar"/>
        </w:rPr>
        <w:t>证券公司应当要求投资者在六个月内办理基本信息变更手续；在身份证明文件过期九十个自然日内办理身份证明文件有效期变更手续。投资者未履行变更手续且没有提出合理理由的，证券公司应当根据相关规定及证券交易委托代理协议的约定采取限制、暂停、终止提供证券交易服务等措施。</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0" w:lineRule="atLeast"/>
        <w:ind w:left="0" w:right="0" w:firstLine="482"/>
        <w:jc w:val="both"/>
        <w:rPr>
          <w:rFonts w:hint="eastAsia" w:asciiTheme="minorEastAsia" w:hAnsiTheme="minorEastAsia" w:eastAsiaTheme="minorEastAsia" w:cstheme="minorEastAsia"/>
          <w:i w:val="0"/>
          <w:iCs w:val="0"/>
          <w:sz w:val="28"/>
          <w:szCs w:val="28"/>
        </w:rPr>
      </w:pPr>
      <w:r>
        <w:rPr>
          <w:rFonts w:hint="eastAsia" w:asciiTheme="minorEastAsia" w:hAnsiTheme="minorEastAsia" w:eastAsiaTheme="minorEastAsia" w:cstheme="minorEastAsia"/>
          <w:b/>
          <w:bCs/>
          <w:i w:val="0"/>
          <w:iCs w:val="0"/>
          <w:caps w:val="0"/>
          <w:color w:val="333333"/>
          <w:spacing w:val="0"/>
          <w:kern w:val="0"/>
          <w:sz w:val="28"/>
          <w:szCs w:val="28"/>
          <w:bdr w:val="none" w:color="auto" w:sz="0" w:space="0"/>
          <w:lang w:val="en-US" w:eastAsia="zh-CN" w:bidi="ar"/>
        </w:rPr>
        <w:t>第六条</w:t>
      </w:r>
      <w:r>
        <w:rPr>
          <w:rFonts w:hint="eastAsia" w:asciiTheme="minorEastAsia" w:hAnsiTheme="minorEastAsia" w:eastAsiaTheme="minorEastAsia" w:cstheme="minorEastAsia"/>
          <w:i w:val="0"/>
          <w:iCs w:val="0"/>
          <w:caps w:val="0"/>
          <w:color w:val="333333"/>
          <w:spacing w:val="0"/>
          <w:kern w:val="0"/>
          <w:sz w:val="28"/>
          <w:szCs w:val="28"/>
          <w:bdr w:val="none" w:color="auto" w:sz="0" w:space="0"/>
          <w:lang w:val="en-US" w:eastAsia="zh-CN" w:bidi="ar"/>
        </w:rPr>
        <w:t> 证券公司应当按照账户实名制要求为投资者分别开立资金账户、证券账户，保证资金账户和证券账户的基本信息一致。证券公司为投资者开立账户应当遵守协会、中国证券登记结算有限责任公司（以下简称“中国结算”）相关账户管理规则。</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0" w:lineRule="atLeast"/>
        <w:ind w:left="0" w:right="0" w:firstLine="480"/>
        <w:jc w:val="both"/>
        <w:rPr>
          <w:rFonts w:hint="eastAsia" w:asciiTheme="minorEastAsia" w:hAnsiTheme="minorEastAsia" w:eastAsiaTheme="minorEastAsia" w:cstheme="minorEastAsia"/>
          <w:i w:val="0"/>
          <w:iCs w:val="0"/>
          <w:sz w:val="28"/>
          <w:szCs w:val="28"/>
        </w:rPr>
      </w:pPr>
      <w:r>
        <w:rPr>
          <w:rFonts w:hint="eastAsia" w:asciiTheme="minorEastAsia" w:hAnsiTheme="minorEastAsia" w:eastAsiaTheme="minorEastAsia" w:cstheme="minorEastAsia"/>
          <w:i w:val="0"/>
          <w:iCs w:val="0"/>
          <w:caps w:val="0"/>
          <w:color w:val="333333"/>
          <w:spacing w:val="0"/>
          <w:kern w:val="0"/>
          <w:sz w:val="28"/>
          <w:szCs w:val="28"/>
          <w:bdr w:val="none" w:color="auto" w:sz="0" w:space="0"/>
          <w:lang w:val="en-US" w:eastAsia="zh-CN" w:bidi="ar"/>
        </w:rPr>
        <w:t>证券公司应当对投资者资金账户、证券账户使用情况进行监测，持续关注投资者账户实名制情况，发现不符合协会、中国结算账户管理规则的，应当根据相关规定及证券交易委托代理协议的约定采取限制、暂停、终止提供证券交易服务等措施。</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0" w:lineRule="atLeast"/>
        <w:ind w:left="0" w:right="0" w:firstLine="482"/>
        <w:jc w:val="both"/>
        <w:rPr>
          <w:rFonts w:hint="eastAsia" w:asciiTheme="minorEastAsia" w:hAnsiTheme="minorEastAsia" w:eastAsiaTheme="minorEastAsia" w:cstheme="minorEastAsia"/>
          <w:i w:val="0"/>
          <w:iCs w:val="0"/>
          <w:sz w:val="28"/>
          <w:szCs w:val="28"/>
        </w:rPr>
      </w:pPr>
      <w:r>
        <w:rPr>
          <w:rFonts w:hint="eastAsia" w:asciiTheme="minorEastAsia" w:hAnsiTheme="minorEastAsia" w:eastAsiaTheme="minorEastAsia" w:cstheme="minorEastAsia"/>
          <w:b/>
          <w:bCs/>
          <w:i w:val="0"/>
          <w:iCs w:val="0"/>
          <w:caps w:val="0"/>
          <w:color w:val="333333"/>
          <w:spacing w:val="0"/>
          <w:kern w:val="0"/>
          <w:sz w:val="28"/>
          <w:szCs w:val="28"/>
          <w:bdr w:val="none" w:color="auto" w:sz="0" w:space="0"/>
          <w:lang w:val="en-US" w:eastAsia="zh-CN" w:bidi="ar"/>
        </w:rPr>
        <w:t>第七条</w:t>
      </w:r>
      <w:r>
        <w:rPr>
          <w:rFonts w:hint="eastAsia" w:asciiTheme="minorEastAsia" w:hAnsiTheme="minorEastAsia" w:eastAsiaTheme="minorEastAsia" w:cstheme="minorEastAsia"/>
          <w:i w:val="0"/>
          <w:iCs w:val="0"/>
          <w:caps w:val="0"/>
          <w:color w:val="333333"/>
          <w:spacing w:val="0"/>
          <w:kern w:val="0"/>
          <w:sz w:val="28"/>
          <w:szCs w:val="28"/>
          <w:bdr w:val="none" w:color="auto" w:sz="0" w:space="0"/>
          <w:lang w:val="en-US" w:eastAsia="zh-CN" w:bidi="ar"/>
        </w:rPr>
        <w:t> 证券公司应当建立健全投资者身份识别机制，切实履行勤勉尽责义务，并通过开户协议、证券交易委托代理协议等提醒投资者如实向证券公司提供投资者信息。</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0" w:lineRule="atLeast"/>
        <w:ind w:left="0" w:right="0" w:firstLine="482"/>
        <w:jc w:val="both"/>
        <w:rPr>
          <w:rFonts w:hint="eastAsia" w:asciiTheme="minorEastAsia" w:hAnsiTheme="minorEastAsia" w:eastAsiaTheme="minorEastAsia" w:cstheme="minorEastAsia"/>
          <w:i w:val="0"/>
          <w:iCs w:val="0"/>
          <w:sz w:val="28"/>
          <w:szCs w:val="28"/>
        </w:rPr>
      </w:pPr>
      <w:r>
        <w:rPr>
          <w:rFonts w:hint="eastAsia" w:asciiTheme="minorEastAsia" w:hAnsiTheme="minorEastAsia" w:eastAsiaTheme="minorEastAsia" w:cstheme="minorEastAsia"/>
          <w:b/>
          <w:bCs/>
          <w:i w:val="0"/>
          <w:iCs w:val="0"/>
          <w:caps w:val="0"/>
          <w:color w:val="333333"/>
          <w:spacing w:val="0"/>
          <w:kern w:val="0"/>
          <w:sz w:val="28"/>
          <w:szCs w:val="28"/>
          <w:bdr w:val="none" w:color="auto" w:sz="0" w:space="0"/>
          <w:lang w:val="en-US" w:eastAsia="zh-CN" w:bidi="ar"/>
        </w:rPr>
        <w:t>第八条</w:t>
      </w:r>
      <w:r>
        <w:rPr>
          <w:rFonts w:hint="eastAsia" w:asciiTheme="minorEastAsia" w:hAnsiTheme="minorEastAsia" w:eastAsiaTheme="minorEastAsia" w:cstheme="minorEastAsia"/>
          <w:i w:val="0"/>
          <w:iCs w:val="0"/>
          <w:caps w:val="0"/>
          <w:color w:val="333333"/>
          <w:spacing w:val="0"/>
          <w:kern w:val="0"/>
          <w:sz w:val="28"/>
          <w:szCs w:val="28"/>
          <w:bdr w:val="none" w:color="auto" w:sz="0" w:space="0"/>
          <w:lang w:val="en-US" w:eastAsia="zh-CN" w:bidi="ar"/>
        </w:rPr>
        <w:t> 证券公司应当对机构投资者、资金账户及证券账户内金融资产（不包括投资者通过融资融券融入的资金和证券）首次超过人民币一千万元的个人投资者强化身份识别。证券公司可以采取以下一种或者多种措施强化身份识别，并做好留痕工作：</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0" w:lineRule="atLeast"/>
        <w:ind w:left="0" w:right="0" w:firstLine="480"/>
        <w:jc w:val="both"/>
        <w:rPr>
          <w:rFonts w:hint="eastAsia" w:asciiTheme="minorEastAsia" w:hAnsiTheme="minorEastAsia" w:eastAsiaTheme="minorEastAsia" w:cstheme="minorEastAsia"/>
          <w:i w:val="0"/>
          <w:iCs w:val="0"/>
          <w:sz w:val="28"/>
          <w:szCs w:val="28"/>
        </w:rPr>
      </w:pPr>
      <w:r>
        <w:rPr>
          <w:rFonts w:hint="eastAsia" w:asciiTheme="minorEastAsia" w:hAnsiTheme="minorEastAsia" w:eastAsiaTheme="minorEastAsia" w:cstheme="minorEastAsia"/>
          <w:i w:val="0"/>
          <w:iCs w:val="0"/>
          <w:caps w:val="0"/>
          <w:color w:val="333333"/>
          <w:spacing w:val="0"/>
          <w:kern w:val="0"/>
          <w:sz w:val="28"/>
          <w:szCs w:val="28"/>
          <w:bdr w:val="none" w:color="auto" w:sz="0" w:space="0"/>
          <w:lang w:val="en-US" w:eastAsia="zh-CN" w:bidi="ar"/>
        </w:rPr>
        <w:t>（一）通过电话回访、面见等方式与投资者进一步沟通；</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0" w:lineRule="atLeast"/>
        <w:ind w:left="0" w:right="0" w:firstLine="480"/>
        <w:jc w:val="both"/>
        <w:rPr>
          <w:rFonts w:hint="eastAsia" w:asciiTheme="minorEastAsia" w:hAnsiTheme="minorEastAsia" w:eastAsiaTheme="minorEastAsia" w:cstheme="minorEastAsia"/>
          <w:i w:val="0"/>
          <w:iCs w:val="0"/>
          <w:sz w:val="28"/>
          <w:szCs w:val="28"/>
        </w:rPr>
      </w:pPr>
      <w:r>
        <w:rPr>
          <w:rFonts w:hint="eastAsia" w:asciiTheme="minorEastAsia" w:hAnsiTheme="minorEastAsia" w:eastAsiaTheme="minorEastAsia" w:cstheme="minorEastAsia"/>
          <w:i w:val="0"/>
          <w:iCs w:val="0"/>
          <w:caps w:val="0"/>
          <w:color w:val="333333"/>
          <w:spacing w:val="0"/>
          <w:kern w:val="0"/>
          <w:sz w:val="28"/>
          <w:szCs w:val="28"/>
          <w:bdr w:val="none" w:color="auto" w:sz="0" w:space="0"/>
          <w:lang w:val="en-US" w:eastAsia="zh-CN" w:bidi="ar"/>
        </w:rPr>
        <w:t>（二）实地调查走访；</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0" w:lineRule="atLeast"/>
        <w:ind w:left="0" w:right="0" w:firstLine="480"/>
        <w:jc w:val="both"/>
        <w:rPr>
          <w:rFonts w:hint="eastAsia" w:asciiTheme="minorEastAsia" w:hAnsiTheme="minorEastAsia" w:eastAsiaTheme="minorEastAsia" w:cstheme="minorEastAsia"/>
          <w:i w:val="0"/>
          <w:iCs w:val="0"/>
          <w:sz w:val="28"/>
          <w:szCs w:val="28"/>
        </w:rPr>
      </w:pPr>
      <w:r>
        <w:rPr>
          <w:rFonts w:hint="eastAsia" w:asciiTheme="minorEastAsia" w:hAnsiTheme="minorEastAsia" w:eastAsiaTheme="minorEastAsia" w:cstheme="minorEastAsia"/>
          <w:i w:val="0"/>
          <w:iCs w:val="0"/>
          <w:caps w:val="0"/>
          <w:color w:val="333333"/>
          <w:spacing w:val="0"/>
          <w:kern w:val="0"/>
          <w:sz w:val="28"/>
          <w:szCs w:val="28"/>
          <w:bdr w:val="none" w:color="auto" w:sz="0" w:space="0"/>
          <w:lang w:val="en-US" w:eastAsia="zh-CN" w:bidi="ar"/>
        </w:rPr>
        <w:t>（三）要求投资者补充提供证明材料；</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0" w:lineRule="atLeast"/>
        <w:ind w:left="0" w:right="0" w:firstLine="480"/>
        <w:jc w:val="both"/>
        <w:rPr>
          <w:rFonts w:hint="eastAsia" w:asciiTheme="minorEastAsia" w:hAnsiTheme="minorEastAsia" w:eastAsiaTheme="minorEastAsia" w:cstheme="minorEastAsia"/>
          <w:i w:val="0"/>
          <w:iCs w:val="0"/>
          <w:sz w:val="28"/>
          <w:szCs w:val="28"/>
        </w:rPr>
      </w:pPr>
      <w:r>
        <w:rPr>
          <w:rFonts w:hint="eastAsia" w:asciiTheme="minorEastAsia" w:hAnsiTheme="minorEastAsia" w:eastAsiaTheme="minorEastAsia" w:cstheme="minorEastAsia"/>
          <w:i w:val="0"/>
          <w:iCs w:val="0"/>
          <w:caps w:val="0"/>
          <w:color w:val="333333"/>
          <w:spacing w:val="0"/>
          <w:kern w:val="0"/>
          <w:sz w:val="28"/>
          <w:szCs w:val="28"/>
          <w:bdr w:val="none" w:color="auto" w:sz="0" w:space="0"/>
          <w:lang w:val="en-US" w:eastAsia="zh-CN" w:bidi="ar"/>
        </w:rPr>
        <w:t>（四）按照账户实名制、反洗钱等有关规定等采取的其他措施。</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0" w:lineRule="atLeast"/>
        <w:ind w:left="0" w:right="0" w:firstLine="480"/>
        <w:jc w:val="both"/>
        <w:rPr>
          <w:rFonts w:hint="eastAsia" w:asciiTheme="minorEastAsia" w:hAnsiTheme="minorEastAsia" w:eastAsiaTheme="minorEastAsia" w:cstheme="minorEastAsia"/>
          <w:i w:val="0"/>
          <w:iCs w:val="0"/>
          <w:sz w:val="28"/>
          <w:szCs w:val="28"/>
        </w:rPr>
      </w:pPr>
      <w:r>
        <w:rPr>
          <w:rFonts w:hint="eastAsia" w:asciiTheme="minorEastAsia" w:hAnsiTheme="minorEastAsia" w:eastAsiaTheme="minorEastAsia" w:cstheme="minorEastAsia"/>
          <w:i w:val="0"/>
          <w:iCs w:val="0"/>
          <w:caps w:val="0"/>
          <w:color w:val="333333"/>
          <w:spacing w:val="0"/>
          <w:kern w:val="0"/>
          <w:sz w:val="28"/>
          <w:szCs w:val="28"/>
          <w:bdr w:val="none" w:color="auto" w:sz="0" w:space="0"/>
          <w:lang w:val="en-US" w:eastAsia="zh-CN" w:bidi="ar"/>
        </w:rPr>
        <w:t>证券公司使用银行、保险类金融机构采集的投资者身份信息的，投资者身份识别义务及相应的责任不因信赖上述金融机构提供的信息而免除。</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0" w:lineRule="atLeast"/>
        <w:ind w:left="0" w:right="0" w:firstLine="482"/>
        <w:jc w:val="both"/>
        <w:rPr>
          <w:rFonts w:hint="eastAsia" w:asciiTheme="minorEastAsia" w:hAnsiTheme="minorEastAsia" w:eastAsiaTheme="minorEastAsia" w:cstheme="minorEastAsia"/>
          <w:i w:val="0"/>
          <w:iCs w:val="0"/>
          <w:sz w:val="28"/>
          <w:szCs w:val="28"/>
        </w:rPr>
      </w:pPr>
      <w:r>
        <w:rPr>
          <w:rFonts w:hint="eastAsia" w:asciiTheme="minorEastAsia" w:hAnsiTheme="minorEastAsia" w:eastAsiaTheme="minorEastAsia" w:cstheme="minorEastAsia"/>
          <w:b/>
          <w:bCs/>
          <w:i w:val="0"/>
          <w:iCs w:val="0"/>
          <w:caps w:val="0"/>
          <w:color w:val="333333"/>
          <w:spacing w:val="0"/>
          <w:kern w:val="0"/>
          <w:sz w:val="28"/>
          <w:szCs w:val="28"/>
          <w:bdr w:val="none" w:color="auto" w:sz="0" w:space="0"/>
          <w:lang w:val="en-US" w:eastAsia="zh-CN" w:bidi="ar"/>
        </w:rPr>
        <w:t>第九条</w:t>
      </w:r>
      <w:r>
        <w:rPr>
          <w:rFonts w:hint="eastAsia" w:asciiTheme="minorEastAsia" w:hAnsiTheme="minorEastAsia" w:eastAsiaTheme="minorEastAsia" w:cstheme="minorEastAsia"/>
          <w:i w:val="0"/>
          <w:iCs w:val="0"/>
          <w:caps w:val="0"/>
          <w:color w:val="333333"/>
          <w:spacing w:val="0"/>
          <w:kern w:val="0"/>
          <w:sz w:val="28"/>
          <w:szCs w:val="28"/>
          <w:bdr w:val="none" w:color="auto" w:sz="0" w:space="0"/>
          <w:lang w:val="en-US" w:eastAsia="zh-CN" w:bidi="ar"/>
        </w:rPr>
        <w:t> 投资者账户出现大额资金划转，并存在下列情形之一的，证券公司应当重新识别投资者身份：</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0" w:lineRule="atLeast"/>
        <w:ind w:left="0" w:right="0" w:firstLine="480"/>
        <w:jc w:val="both"/>
        <w:rPr>
          <w:rFonts w:hint="eastAsia" w:asciiTheme="minorEastAsia" w:hAnsiTheme="minorEastAsia" w:eastAsiaTheme="minorEastAsia" w:cstheme="minorEastAsia"/>
          <w:i w:val="0"/>
          <w:iCs w:val="0"/>
          <w:sz w:val="28"/>
          <w:szCs w:val="28"/>
        </w:rPr>
      </w:pPr>
      <w:r>
        <w:rPr>
          <w:rFonts w:hint="eastAsia" w:asciiTheme="minorEastAsia" w:hAnsiTheme="minorEastAsia" w:eastAsiaTheme="minorEastAsia" w:cstheme="minorEastAsia"/>
          <w:i w:val="0"/>
          <w:iCs w:val="0"/>
          <w:caps w:val="0"/>
          <w:color w:val="333333"/>
          <w:spacing w:val="0"/>
          <w:kern w:val="0"/>
          <w:sz w:val="28"/>
          <w:szCs w:val="28"/>
          <w:bdr w:val="none" w:color="auto" w:sz="0" w:space="0"/>
          <w:lang w:val="en-US" w:eastAsia="zh-CN" w:bidi="ar"/>
        </w:rPr>
        <w:t>（一）资金划转金额与投资者资产收入情况明显不一致；</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0" w:lineRule="atLeast"/>
        <w:ind w:left="0" w:right="0" w:firstLine="480"/>
        <w:jc w:val="both"/>
        <w:rPr>
          <w:rFonts w:hint="eastAsia" w:asciiTheme="minorEastAsia" w:hAnsiTheme="minorEastAsia" w:eastAsiaTheme="minorEastAsia" w:cstheme="minorEastAsia"/>
          <w:i w:val="0"/>
          <w:iCs w:val="0"/>
          <w:sz w:val="28"/>
          <w:szCs w:val="28"/>
        </w:rPr>
      </w:pPr>
      <w:r>
        <w:rPr>
          <w:rFonts w:hint="eastAsia" w:asciiTheme="minorEastAsia" w:hAnsiTheme="minorEastAsia" w:eastAsiaTheme="minorEastAsia" w:cstheme="minorEastAsia"/>
          <w:i w:val="0"/>
          <w:iCs w:val="0"/>
          <w:caps w:val="0"/>
          <w:color w:val="333333"/>
          <w:spacing w:val="0"/>
          <w:kern w:val="0"/>
          <w:sz w:val="28"/>
          <w:szCs w:val="28"/>
          <w:bdr w:val="none" w:color="auto" w:sz="0" w:space="0"/>
          <w:lang w:val="en-US" w:eastAsia="zh-CN" w:bidi="ar"/>
        </w:rPr>
        <w:t>（二）资金划转金额与已掌握的投资者年龄、职业、注册资本等信息相矛盾；</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0" w:lineRule="atLeast"/>
        <w:ind w:left="0" w:right="0" w:firstLine="480"/>
        <w:jc w:val="both"/>
        <w:rPr>
          <w:rFonts w:hint="eastAsia" w:asciiTheme="minorEastAsia" w:hAnsiTheme="minorEastAsia" w:eastAsiaTheme="minorEastAsia" w:cstheme="minorEastAsia"/>
          <w:i w:val="0"/>
          <w:iCs w:val="0"/>
          <w:sz w:val="28"/>
          <w:szCs w:val="28"/>
        </w:rPr>
      </w:pPr>
      <w:r>
        <w:rPr>
          <w:rFonts w:hint="eastAsia" w:asciiTheme="minorEastAsia" w:hAnsiTheme="minorEastAsia" w:eastAsiaTheme="minorEastAsia" w:cstheme="minorEastAsia"/>
          <w:i w:val="0"/>
          <w:iCs w:val="0"/>
          <w:caps w:val="0"/>
          <w:color w:val="333333"/>
          <w:spacing w:val="0"/>
          <w:kern w:val="0"/>
          <w:sz w:val="28"/>
          <w:szCs w:val="28"/>
          <w:bdr w:val="none" w:color="auto" w:sz="0" w:space="0"/>
          <w:lang w:val="en-US" w:eastAsia="zh-CN" w:bidi="ar"/>
        </w:rPr>
        <w:t>（三）资金划转金额、次数、频率存在异常；</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0" w:lineRule="atLeast"/>
        <w:ind w:left="0" w:right="0" w:firstLine="480"/>
        <w:jc w:val="both"/>
        <w:rPr>
          <w:rFonts w:hint="eastAsia" w:asciiTheme="minorEastAsia" w:hAnsiTheme="minorEastAsia" w:eastAsiaTheme="minorEastAsia" w:cstheme="minorEastAsia"/>
          <w:i w:val="0"/>
          <w:iCs w:val="0"/>
          <w:sz w:val="28"/>
          <w:szCs w:val="28"/>
        </w:rPr>
      </w:pPr>
      <w:r>
        <w:rPr>
          <w:rFonts w:hint="eastAsia" w:asciiTheme="minorEastAsia" w:hAnsiTheme="minorEastAsia" w:eastAsiaTheme="minorEastAsia" w:cstheme="minorEastAsia"/>
          <w:i w:val="0"/>
          <w:iCs w:val="0"/>
          <w:caps w:val="0"/>
          <w:color w:val="333333"/>
          <w:spacing w:val="0"/>
          <w:kern w:val="0"/>
          <w:sz w:val="28"/>
          <w:szCs w:val="28"/>
          <w:bdr w:val="none" w:color="auto" w:sz="0" w:space="0"/>
          <w:lang w:val="en-US" w:eastAsia="zh-CN" w:bidi="ar"/>
        </w:rPr>
        <w:t>（四）无实质交易且频繁发生大额资金划转；</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0" w:lineRule="atLeast"/>
        <w:ind w:left="0" w:right="0" w:firstLine="480"/>
        <w:jc w:val="both"/>
        <w:rPr>
          <w:rFonts w:hint="eastAsia" w:asciiTheme="minorEastAsia" w:hAnsiTheme="minorEastAsia" w:eastAsiaTheme="minorEastAsia" w:cstheme="minorEastAsia"/>
          <w:i w:val="0"/>
          <w:iCs w:val="0"/>
          <w:sz w:val="28"/>
          <w:szCs w:val="28"/>
        </w:rPr>
      </w:pPr>
      <w:r>
        <w:rPr>
          <w:rFonts w:hint="eastAsia" w:asciiTheme="minorEastAsia" w:hAnsiTheme="minorEastAsia" w:eastAsiaTheme="minorEastAsia" w:cstheme="minorEastAsia"/>
          <w:i w:val="0"/>
          <w:iCs w:val="0"/>
          <w:caps w:val="0"/>
          <w:color w:val="333333"/>
          <w:spacing w:val="0"/>
          <w:kern w:val="0"/>
          <w:sz w:val="28"/>
          <w:szCs w:val="28"/>
          <w:bdr w:val="none" w:color="auto" w:sz="0" w:space="0"/>
          <w:lang w:val="en-US" w:eastAsia="zh-CN" w:bidi="ar"/>
        </w:rPr>
        <w:t>（五）法律法规规定的其他情形。</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0" w:lineRule="atLeast"/>
        <w:ind w:left="0" w:right="0" w:firstLine="480"/>
        <w:jc w:val="both"/>
        <w:rPr>
          <w:rFonts w:hint="eastAsia" w:asciiTheme="minorEastAsia" w:hAnsiTheme="minorEastAsia" w:eastAsiaTheme="minorEastAsia" w:cstheme="minorEastAsia"/>
          <w:i w:val="0"/>
          <w:iCs w:val="0"/>
          <w:sz w:val="28"/>
          <w:szCs w:val="28"/>
        </w:rPr>
      </w:pPr>
      <w:r>
        <w:rPr>
          <w:rFonts w:hint="eastAsia" w:asciiTheme="minorEastAsia" w:hAnsiTheme="minorEastAsia" w:eastAsiaTheme="minorEastAsia" w:cstheme="minorEastAsia"/>
          <w:i w:val="0"/>
          <w:iCs w:val="0"/>
          <w:caps w:val="0"/>
          <w:color w:val="333333"/>
          <w:spacing w:val="0"/>
          <w:kern w:val="0"/>
          <w:sz w:val="28"/>
          <w:szCs w:val="28"/>
          <w:bdr w:val="none" w:color="auto" w:sz="0" w:space="0"/>
          <w:lang w:val="en-US" w:eastAsia="zh-CN" w:bidi="ar"/>
        </w:rPr>
        <w:t>大额资金划转的金额标准参照反洗钱主管部门制定的大额交易报告相关标准。在重新识别的过程中，投资者不配合证券公司工作的，证券公司可以根据相关规定和协议的约定采取限制、暂停、终止提供证券交易服务等措施。</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0" w:lineRule="atLeast"/>
        <w:ind w:left="0" w:right="0" w:firstLine="480"/>
        <w:jc w:val="both"/>
        <w:rPr>
          <w:rFonts w:hint="eastAsia" w:asciiTheme="minorEastAsia" w:hAnsiTheme="minorEastAsia" w:eastAsiaTheme="minorEastAsia" w:cstheme="minorEastAsia"/>
          <w:i w:val="0"/>
          <w:iCs w:val="0"/>
          <w:sz w:val="28"/>
          <w:szCs w:val="28"/>
        </w:rPr>
      </w:pPr>
      <w:r>
        <w:rPr>
          <w:rFonts w:hint="eastAsia" w:asciiTheme="minorEastAsia" w:hAnsiTheme="minorEastAsia" w:eastAsiaTheme="minorEastAsia" w:cstheme="minorEastAsia"/>
          <w:i w:val="0"/>
          <w:iCs w:val="0"/>
          <w:caps w:val="0"/>
          <w:color w:val="333333"/>
          <w:spacing w:val="0"/>
          <w:kern w:val="0"/>
          <w:sz w:val="28"/>
          <w:szCs w:val="28"/>
          <w:bdr w:val="none" w:color="auto" w:sz="0" w:space="0"/>
          <w:lang w:val="en-US" w:eastAsia="zh-CN" w:bidi="ar"/>
        </w:rPr>
        <w:t>证券公司认为投资者行为与洗钱、恐怖融资等犯罪活动相关的，应当按照规定及时报告反洗钱主管部门。</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0" w:lineRule="atLeast"/>
        <w:ind w:left="0" w:right="0" w:firstLine="482"/>
        <w:jc w:val="both"/>
        <w:rPr>
          <w:rFonts w:hint="eastAsia" w:asciiTheme="minorEastAsia" w:hAnsiTheme="minorEastAsia" w:eastAsiaTheme="minorEastAsia" w:cstheme="minorEastAsia"/>
          <w:i w:val="0"/>
          <w:iCs w:val="0"/>
          <w:sz w:val="28"/>
          <w:szCs w:val="28"/>
        </w:rPr>
      </w:pPr>
      <w:r>
        <w:rPr>
          <w:rFonts w:hint="eastAsia" w:asciiTheme="minorEastAsia" w:hAnsiTheme="minorEastAsia" w:eastAsiaTheme="minorEastAsia" w:cstheme="minorEastAsia"/>
          <w:b/>
          <w:bCs/>
          <w:i w:val="0"/>
          <w:iCs w:val="0"/>
          <w:caps w:val="0"/>
          <w:color w:val="333333"/>
          <w:spacing w:val="0"/>
          <w:kern w:val="0"/>
          <w:sz w:val="28"/>
          <w:szCs w:val="28"/>
          <w:bdr w:val="none" w:color="auto" w:sz="0" w:space="0"/>
          <w:lang w:val="en-US" w:eastAsia="zh-CN" w:bidi="ar"/>
        </w:rPr>
        <w:t>第十条</w:t>
      </w:r>
      <w:r>
        <w:rPr>
          <w:rFonts w:hint="eastAsia" w:asciiTheme="minorEastAsia" w:hAnsiTheme="minorEastAsia" w:eastAsiaTheme="minorEastAsia" w:cstheme="minorEastAsia"/>
          <w:i w:val="0"/>
          <w:iCs w:val="0"/>
          <w:caps w:val="0"/>
          <w:color w:val="333333"/>
          <w:spacing w:val="0"/>
          <w:kern w:val="0"/>
          <w:sz w:val="28"/>
          <w:szCs w:val="28"/>
          <w:bdr w:val="none" w:color="auto" w:sz="0" w:space="0"/>
          <w:lang w:val="en-US" w:eastAsia="zh-CN" w:bidi="ar"/>
        </w:rPr>
        <w:t> 证券公司应当持续做好投资者适当性管理工作，将投资者区分为普通投资者和专业投资者，并综合考虑收入来源、资产状况、债务、投资知识和经验、风险偏好、诚信状况等因素，确定普通投资者的风险承受能力，对其进行细化分类和管理。</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0" w:lineRule="atLeast"/>
        <w:ind w:left="0" w:right="0" w:firstLine="480"/>
        <w:jc w:val="both"/>
        <w:rPr>
          <w:rFonts w:hint="eastAsia" w:asciiTheme="minorEastAsia" w:hAnsiTheme="minorEastAsia" w:eastAsiaTheme="minorEastAsia" w:cstheme="minorEastAsia"/>
          <w:i w:val="0"/>
          <w:iCs w:val="0"/>
          <w:sz w:val="28"/>
          <w:szCs w:val="28"/>
        </w:rPr>
      </w:pPr>
      <w:r>
        <w:rPr>
          <w:rFonts w:hint="eastAsia" w:asciiTheme="minorEastAsia" w:hAnsiTheme="minorEastAsia" w:eastAsiaTheme="minorEastAsia" w:cstheme="minorEastAsia"/>
          <w:i w:val="0"/>
          <w:iCs w:val="0"/>
          <w:caps w:val="0"/>
          <w:color w:val="333333"/>
          <w:spacing w:val="0"/>
          <w:kern w:val="0"/>
          <w:sz w:val="28"/>
          <w:szCs w:val="28"/>
          <w:bdr w:val="none" w:color="auto" w:sz="0" w:space="0"/>
          <w:lang w:val="en-US" w:eastAsia="zh-CN" w:bidi="ar"/>
        </w:rPr>
        <w:t>证券公司向普通投资者提供的交易服务的风险等级应当与投资者分类结果相匹配。</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0" w:lineRule="atLeast"/>
        <w:ind w:left="0" w:right="0" w:firstLine="482"/>
        <w:jc w:val="both"/>
        <w:rPr>
          <w:rFonts w:hint="eastAsia" w:asciiTheme="minorEastAsia" w:hAnsiTheme="minorEastAsia" w:eastAsiaTheme="minorEastAsia" w:cstheme="minorEastAsia"/>
          <w:i w:val="0"/>
          <w:iCs w:val="0"/>
          <w:sz w:val="28"/>
          <w:szCs w:val="28"/>
        </w:rPr>
      </w:pPr>
      <w:r>
        <w:rPr>
          <w:rFonts w:hint="eastAsia" w:asciiTheme="minorEastAsia" w:hAnsiTheme="minorEastAsia" w:eastAsiaTheme="minorEastAsia" w:cstheme="minorEastAsia"/>
          <w:b/>
          <w:bCs/>
          <w:i w:val="0"/>
          <w:iCs w:val="0"/>
          <w:caps w:val="0"/>
          <w:color w:val="333333"/>
          <w:spacing w:val="0"/>
          <w:kern w:val="0"/>
          <w:sz w:val="28"/>
          <w:szCs w:val="28"/>
          <w:bdr w:val="none" w:color="auto" w:sz="0" w:space="0"/>
          <w:lang w:val="en-US" w:eastAsia="zh-CN" w:bidi="ar"/>
        </w:rPr>
        <w:t>第十一条 </w:t>
      </w:r>
      <w:r>
        <w:rPr>
          <w:rFonts w:hint="eastAsia" w:asciiTheme="minorEastAsia" w:hAnsiTheme="minorEastAsia" w:eastAsiaTheme="minorEastAsia" w:cstheme="minorEastAsia"/>
          <w:i w:val="0"/>
          <w:iCs w:val="0"/>
          <w:caps w:val="0"/>
          <w:color w:val="333333"/>
          <w:spacing w:val="0"/>
          <w:kern w:val="0"/>
          <w:sz w:val="28"/>
          <w:szCs w:val="28"/>
          <w:bdr w:val="none" w:color="auto" w:sz="0" w:space="0"/>
          <w:lang w:val="en-US" w:eastAsia="zh-CN" w:bidi="ar"/>
        </w:rPr>
        <w:t>证券公司应当建立监测、核查机制，持续跟踪了解投资者适当性匹配情况，至少每两年进行一次投资者适当性是否匹配的后续评估。</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0" w:lineRule="atLeast"/>
        <w:ind w:left="0" w:right="0" w:firstLine="482"/>
        <w:jc w:val="both"/>
        <w:rPr>
          <w:rFonts w:hint="eastAsia" w:asciiTheme="minorEastAsia" w:hAnsiTheme="minorEastAsia" w:eastAsiaTheme="minorEastAsia" w:cstheme="minorEastAsia"/>
          <w:i w:val="0"/>
          <w:iCs w:val="0"/>
          <w:sz w:val="28"/>
          <w:szCs w:val="28"/>
        </w:rPr>
      </w:pPr>
      <w:r>
        <w:rPr>
          <w:rFonts w:hint="eastAsia" w:asciiTheme="minorEastAsia" w:hAnsiTheme="minorEastAsia" w:eastAsiaTheme="minorEastAsia" w:cstheme="minorEastAsia"/>
          <w:b/>
          <w:bCs/>
          <w:i w:val="0"/>
          <w:iCs w:val="0"/>
          <w:caps w:val="0"/>
          <w:color w:val="333333"/>
          <w:spacing w:val="0"/>
          <w:kern w:val="0"/>
          <w:sz w:val="28"/>
          <w:szCs w:val="28"/>
          <w:bdr w:val="none" w:color="auto" w:sz="0" w:space="0"/>
          <w:lang w:val="en-US" w:eastAsia="zh-CN" w:bidi="ar"/>
        </w:rPr>
        <w:t>第十二条</w:t>
      </w:r>
      <w:r>
        <w:rPr>
          <w:rFonts w:hint="eastAsia" w:asciiTheme="minorEastAsia" w:hAnsiTheme="minorEastAsia" w:eastAsiaTheme="minorEastAsia" w:cstheme="minorEastAsia"/>
          <w:i w:val="0"/>
          <w:iCs w:val="0"/>
          <w:caps w:val="0"/>
          <w:color w:val="333333"/>
          <w:spacing w:val="0"/>
          <w:kern w:val="0"/>
          <w:sz w:val="28"/>
          <w:szCs w:val="28"/>
          <w:bdr w:val="none" w:color="auto" w:sz="0" w:space="0"/>
          <w:lang w:val="en-US" w:eastAsia="zh-CN" w:bidi="ar"/>
        </w:rPr>
        <w:t> 证券公司应当建立健全投资者回访制度，可以结合自身状况、业务风险情况等采取不同回访方式，回访方式包括但不限于电话或即时通讯回访、问卷回访、面见回访等。回访应当留痕，相关资料保存不少于三年。</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0" w:lineRule="atLeast"/>
        <w:ind w:left="0" w:right="0" w:firstLine="480"/>
        <w:jc w:val="both"/>
        <w:rPr>
          <w:rFonts w:hint="eastAsia" w:asciiTheme="minorEastAsia" w:hAnsiTheme="minorEastAsia" w:eastAsiaTheme="minorEastAsia" w:cstheme="minorEastAsia"/>
          <w:i w:val="0"/>
          <w:iCs w:val="0"/>
          <w:sz w:val="28"/>
          <w:szCs w:val="28"/>
        </w:rPr>
      </w:pPr>
      <w:r>
        <w:rPr>
          <w:rFonts w:hint="eastAsia" w:asciiTheme="minorEastAsia" w:hAnsiTheme="minorEastAsia" w:eastAsiaTheme="minorEastAsia" w:cstheme="minorEastAsia"/>
          <w:i w:val="0"/>
          <w:iCs w:val="0"/>
          <w:caps w:val="0"/>
          <w:color w:val="333333"/>
          <w:spacing w:val="0"/>
          <w:kern w:val="0"/>
          <w:sz w:val="28"/>
          <w:szCs w:val="28"/>
          <w:bdr w:val="none" w:color="auto" w:sz="0" w:space="0"/>
          <w:lang w:val="en-US" w:eastAsia="zh-CN" w:bidi="ar"/>
        </w:rPr>
        <w:t>证券公司回访应当符合以下要求：</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0" w:lineRule="atLeast"/>
        <w:ind w:left="0" w:right="0" w:firstLine="480"/>
        <w:jc w:val="both"/>
        <w:rPr>
          <w:rFonts w:hint="eastAsia" w:asciiTheme="minorEastAsia" w:hAnsiTheme="minorEastAsia" w:eastAsiaTheme="minorEastAsia" w:cstheme="minorEastAsia"/>
          <w:i w:val="0"/>
          <w:iCs w:val="0"/>
          <w:sz w:val="28"/>
          <w:szCs w:val="28"/>
        </w:rPr>
      </w:pPr>
      <w:r>
        <w:rPr>
          <w:rFonts w:hint="eastAsia" w:asciiTheme="minorEastAsia" w:hAnsiTheme="minorEastAsia" w:eastAsiaTheme="minorEastAsia" w:cstheme="minorEastAsia"/>
          <w:i w:val="0"/>
          <w:iCs w:val="0"/>
          <w:caps w:val="0"/>
          <w:color w:val="333333"/>
          <w:spacing w:val="0"/>
          <w:kern w:val="0"/>
          <w:sz w:val="28"/>
          <w:szCs w:val="28"/>
          <w:bdr w:val="none" w:color="auto" w:sz="0" w:space="0"/>
          <w:lang w:val="en-US" w:eastAsia="zh-CN" w:bidi="ar"/>
        </w:rPr>
        <w:t>（一）对新开资金账户的投资者，回访确认后账户方可使用；对新增证券交易场所设定准入条件的各类证券交易权限的投资者，在开通相应交易权限后三十个自然日内完成回访；</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0" w:lineRule="atLeast"/>
        <w:ind w:left="0" w:right="0" w:firstLine="480"/>
        <w:jc w:val="both"/>
        <w:rPr>
          <w:rFonts w:hint="eastAsia" w:asciiTheme="minorEastAsia" w:hAnsiTheme="minorEastAsia" w:eastAsiaTheme="minorEastAsia" w:cstheme="minorEastAsia"/>
          <w:i w:val="0"/>
          <w:iCs w:val="0"/>
          <w:sz w:val="28"/>
          <w:szCs w:val="28"/>
        </w:rPr>
      </w:pPr>
      <w:r>
        <w:rPr>
          <w:rFonts w:hint="eastAsia" w:asciiTheme="minorEastAsia" w:hAnsiTheme="minorEastAsia" w:eastAsiaTheme="minorEastAsia" w:cstheme="minorEastAsia"/>
          <w:i w:val="0"/>
          <w:iCs w:val="0"/>
          <w:caps w:val="0"/>
          <w:color w:val="333333"/>
          <w:spacing w:val="0"/>
          <w:kern w:val="0"/>
          <w:sz w:val="28"/>
          <w:szCs w:val="28"/>
          <w:bdr w:val="none" w:color="auto" w:sz="0" w:space="0"/>
          <w:lang w:val="en-US" w:eastAsia="zh-CN" w:bidi="ar"/>
        </w:rPr>
        <w:t>（二）对账户使用、资金划转、证券交易等存在异常情形的投资者，在两个交易日内进行回访；</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0" w:lineRule="atLeast"/>
        <w:ind w:left="0" w:right="0" w:firstLine="480"/>
        <w:jc w:val="both"/>
        <w:rPr>
          <w:rFonts w:hint="eastAsia" w:asciiTheme="minorEastAsia" w:hAnsiTheme="minorEastAsia" w:eastAsiaTheme="minorEastAsia" w:cstheme="minorEastAsia"/>
          <w:i w:val="0"/>
          <w:iCs w:val="0"/>
          <w:sz w:val="28"/>
          <w:szCs w:val="28"/>
        </w:rPr>
      </w:pPr>
      <w:r>
        <w:rPr>
          <w:rFonts w:hint="eastAsia" w:asciiTheme="minorEastAsia" w:hAnsiTheme="minorEastAsia" w:eastAsiaTheme="minorEastAsia" w:cstheme="minorEastAsia"/>
          <w:i w:val="0"/>
          <w:iCs w:val="0"/>
          <w:caps w:val="0"/>
          <w:color w:val="333333"/>
          <w:spacing w:val="0"/>
          <w:kern w:val="0"/>
          <w:sz w:val="28"/>
          <w:szCs w:val="28"/>
          <w:bdr w:val="none" w:color="auto" w:sz="0" w:space="0"/>
          <w:lang w:val="en-US" w:eastAsia="zh-CN" w:bidi="ar"/>
        </w:rPr>
        <w:t>（三）对其他投资者，每年回访比例不得低于上年末客户总数（不含休眠账户及中止交易账户客户,下同）的5%。</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0" w:lineRule="atLeast"/>
        <w:ind w:left="0" w:right="0" w:firstLine="480"/>
        <w:jc w:val="both"/>
        <w:rPr>
          <w:rFonts w:hint="eastAsia" w:asciiTheme="minorEastAsia" w:hAnsiTheme="minorEastAsia" w:eastAsiaTheme="minorEastAsia" w:cstheme="minorEastAsia"/>
          <w:i w:val="0"/>
          <w:iCs w:val="0"/>
          <w:sz w:val="28"/>
          <w:szCs w:val="28"/>
        </w:rPr>
      </w:pPr>
      <w:r>
        <w:rPr>
          <w:rFonts w:hint="eastAsia" w:asciiTheme="minorEastAsia" w:hAnsiTheme="minorEastAsia" w:eastAsiaTheme="minorEastAsia" w:cstheme="minorEastAsia"/>
          <w:i w:val="0"/>
          <w:iCs w:val="0"/>
          <w:caps w:val="0"/>
          <w:color w:val="333333"/>
          <w:spacing w:val="0"/>
          <w:kern w:val="0"/>
          <w:sz w:val="28"/>
          <w:szCs w:val="28"/>
          <w:bdr w:val="none" w:color="auto" w:sz="0" w:space="0"/>
          <w:lang w:val="en-US" w:eastAsia="zh-CN" w:bidi="ar"/>
        </w:rPr>
        <w:t>证券公司开展回访工作的，每年回访比例不得低于上年末客户总数的10%。</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0" w:lineRule="atLeast"/>
        <w:ind w:left="0" w:right="0" w:firstLine="480"/>
        <w:jc w:val="both"/>
        <w:rPr>
          <w:rFonts w:hint="eastAsia" w:asciiTheme="minorEastAsia" w:hAnsiTheme="minorEastAsia" w:eastAsiaTheme="minorEastAsia" w:cstheme="minorEastAsia"/>
          <w:i w:val="0"/>
          <w:iCs w:val="0"/>
          <w:sz w:val="28"/>
          <w:szCs w:val="28"/>
        </w:rPr>
      </w:pPr>
      <w:r>
        <w:rPr>
          <w:rFonts w:hint="eastAsia" w:asciiTheme="minorEastAsia" w:hAnsiTheme="minorEastAsia" w:eastAsiaTheme="minorEastAsia" w:cstheme="minorEastAsia"/>
          <w:i w:val="0"/>
          <w:iCs w:val="0"/>
          <w:caps w:val="0"/>
          <w:color w:val="333333"/>
          <w:spacing w:val="0"/>
          <w:kern w:val="0"/>
          <w:sz w:val="28"/>
          <w:szCs w:val="28"/>
          <w:bdr w:val="none" w:color="auto" w:sz="0" w:space="0"/>
          <w:lang w:val="en-US" w:eastAsia="zh-CN" w:bidi="ar"/>
        </w:rPr>
        <w:t>证券公司委托第三方专业机构实施投资者回访的，应当加强机构准入和回访人员管理，确保投资者信息安全，并承担相应的法律责任。</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0" w:lineRule="atLeast"/>
        <w:ind w:left="0" w:right="0" w:firstLine="482"/>
        <w:jc w:val="both"/>
        <w:rPr>
          <w:rFonts w:hint="eastAsia" w:asciiTheme="minorEastAsia" w:hAnsiTheme="minorEastAsia" w:eastAsiaTheme="minorEastAsia" w:cstheme="minorEastAsia"/>
          <w:i w:val="0"/>
          <w:iCs w:val="0"/>
          <w:sz w:val="28"/>
          <w:szCs w:val="28"/>
        </w:rPr>
      </w:pPr>
      <w:r>
        <w:rPr>
          <w:rFonts w:hint="eastAsia" w:asciiTheme="minorEastAsia" w:hAnsiTheme="minorEastAsia" w:eastAsiaTheme="minorEastAsia" w:cstheme="minorEastAsia"/>
          <w:b/>
          <w:bCs/>
          <w:i w:val="0"/>
          <w:iCs w:val="0"/>
          <w:caps w:val="0"/>
          <w:color w:val="333333"/>
          <w:spacing w:val="0"/>
          <w:kern w:val="0"/>
          <w:sz w:val="28"/>
          <w:szCs w:val="28"/>
          <w:bdr w:val="none" w:color="auto" w:sz="0" w:space="0"/>
          <w:lang w:val="en-US" w:eastAsia="zh-CN" w:bidi="ar"/>
        </w:rPr>
        <w:t>第十三条</w:t>
      </w:r>
      <w:r>
        <w:rPr>
          <w:rFonts w:hint="eastAsia" w:asciiTheme="minorEastAsia" w:hAnsiTheme="minorEastAsia" w:eastAsiaTheme="minorEastAsia" w:cstheme="minorEastAsia"/>
          <w:i w:val="0"/>
          <w:iCs w:val="0"/>
          <w:caps w:val="0"/>
          <w:color w:val="333333"/>
          <w:spacing w:val="0"/>
          <w:kern w:val="0"/>
          <w:sz w:val="28"/>
          <w:szCs w:val="28"/>
          <w:bdr w:val="none" w:color="auto" w:sz="0" w:space="0"/>
          <w:lang w:val="en-US" w:eastAsia="zh-CN" w:bidi="ar"/>
        </w:rPr>
        <w:t> 本章节所指限制措施包括但不限于限制买入、限制资金转出、限制转托管、限制撤销指定交易、暂停办理新业务等。</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0" w:lineRule="atLeast"/>
        <w:ind w:left="0" w:right="0"/>
        <w:jc w:val="center"/>
        <w:rPr>
          <w:rFonts w:hint="eastAsia" w:asciiTheme="minorEastAsia" w:hAnsiTheme="minorEastAsia" w:eastAsiaTheme="minorEastAsia" w:cstheme="minorEastAsia"/>
          <w:i w:val="0"/>
          <w:iCs w:val="0"/>
          <w:sz w:val="28"/>
          <w:szCs w:val="28"/>
        </w:rPr>
      </w:pPr>
      <w:r>
        <w:rPr>
          <w:rFonts w:hint="eastAsia" w:asciiTheme="minorEastAsia" w:hAnsiTheme="minorEastAsia" w:eastAsiaTheme="minorEastAsia" w:cstheme="minorEastAsia"/>
          <w:b/>
          <w:bCs/>
          <w:i w:val="0"/>
          <w:iCs w:val="0"/>
          <w:caps w:val="0"/>
          <w:color w:val="333333"/>
          <w:spacing w:val="0"/>
          <w:kern w:val="0"/>
          <w:sz w:val="28"/>
          <w:szCs w:val="28"/>
          <w:bdr w:val="none" w:color="auto" w:sz="0" w:space="0"/>
          <w:lang w:val="en-US" w:eastAsia="zh-CN" w:bidi="ar"/>
        </w:rPr>
        <w:t>第三章 营销管理</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0" w:lineRule="atLeast"/>
        <w:ind w:left="0" w:right="0" w:firstLine="482"/>
        <w:jc w:val="both"/>
        <w:rPr>
          <w:rFonts w:hint="eastAsia" w:asciiTheme="minorEastAsia" w:hAnsiTheme="minorEastAsia" w:eastAsiaTheme="minorEastAsia" w:cstheme="minorEastAsia"/>
          <w:i w:val="0"/>
          <w:iCs w:val="0"/>
          <w:sz w:val="28"/>
          <w:szCs w:val="28"/>
        </w:rPr>
      </w:pPr>
      <w:r>
        <w:rPr>
          <w:rFonts w:hint="eastAsia" w:asciiTheme="minorEastAsia" w:hAnsiTheme="minorEastAsia" w:eastAsiaTheme="minorEastAsia" w:cstheme="minorEastAsia"/>
          <w:b/>
          <w:bCs/>
          <w:i w:val="0"/>
          <w:iCs w:val="0"/>
          <w:caps w:val="0"/>
          <w:color w:val="333333"/>
          <w:spacing w:val="0"/>
          <w:kern w:val="0"/>
          <w:sz w:val="28"/>
          <w:szCs w:val="28"/>
          <w:bdr w:val="none" w:color="auto" w:sz="0" w:space="0"/>
          <w:lang w:val="en-US" w:eastAsia="zh-CN" w:bidi="ar"/>
        </w:rPr>
        <w:t>第十四条</w:t>
      </w:r>
      <w:r>
        <w:rPr>
          <w:rFonts w:hint="eastAsia" w:asciiTheme="minorEastAsia" w:hAnsiTheme="minorEastAsia" w:eastAsiaTheme="minorEastAsia" w:cstheme="minorEastAsia"/>
          <w:i w:val="0"/>
          <w:iCs w:val="0"/>
          <w:caps w:val="0"/>
          <w:color w:val="333333"/>
          <w:spacing w:val="0"/>
          <w:kern w:val="0"/>
          <w:sz w:val="28"/>
          <w:szCs w:val="28"/>
          <w:bdr w:val="none" w:color="auto" w:sz="0" w:space="0"/>
          <w:lang w:val="en-US" w:eastAsia="zh-CN" w:bidi="ar"/>
        </w:rPr>
        <w:t> 证券公司开展证券经纪业务营销活动，应当制定证券经纪业务营销管理制度，加强对营销活动的统一管理。</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0" w:lineRule="atLeast"/>
        <w:ind w:left="0" w:right="0" w:firstLine="480"/>
        <w:jc w:val="both"/>
        <w:rPr>
          <w:rFonts w:hint="eastAsia" w:asciiTheme="minorEastAsia" w:hAnsiTheme="minorEastAsia" w:eastAsiaTheme="minorEastAsia" w:cstheme="minorEastAsia"/>
          <w:i w:val="0"/>
          <w:iCs w:val="0"/>
          <w:sz w:val="28"/>
          <w:szCs w:val="28"/>
        </w:rPr>
      </w:pPr>
      <w:r>
        <w:rPr>
          <w:rFonts w:hint="eastAsia" w:asciiTheme="minorEastAsia" w:hAnsiTheme="minorEastAsia" w:eastAsiaTheme="minorEastAsia" w:cstheme="minorEastAsia"/>
          <w:i w:val="0"/>
          <w:iCs w:val="0"/>
          <w:caps w:val="0"/>
          <w:color w:val="333333"/>
          <w:spacing w:val="0"/>
          <w:kern w:val="0"/>
          <w:sz w:val="28"/>
          <w:szCs w:val="28"/>
          <w:bdr w:val="none" w:color="auto" w:sz="0" w:space="0"/>
          <w:lang w:val="en-US" w:eastAsia="zh-CN" w:bidi="ar"/>
        </w:rPr>
        <w:t>证券公司应当事先对营销活动方案、宣传推介材料履行审核程序，并由合规管理人员进行合规审查。</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0" w:lineRule="atLeast"/>
        <w:ind w:left="0" w:right="0" w:firstLine="482"/>
        <w:jc w:val="both"/>
        <w:rPr>
          <w:rFonts w:hint="eastAsia" w:asciiTheme="minorEastAsia" w:hAnsiTheme="minorEastAsia" w:eastAsiaTheme="minorEastAsia" w:cstheme="minorEastAsia"/>
          <w:i w:val="0"/>
          <w:iCs w:val="0"/>
          <w:sz w:val="28"/>
          <w:szCs w:val="28"/>
        </w:rPr>
      </w:pPr>
      <w:r>
        <w:rPr>
          <w:rFonts w:hint="eastAsia" w:asciiTheme="minorEastAsia" w:hAnsiTheme="minorEastAsia" w:eastAsiaTheme="minorEastAsia" w:cstheme="minorEastAsia"/>
          <w:b/>
          <w:bCs/>
          <w:i w:val="0"/>
          <w:iCs w:val="0"/>
          <w:caps w:val="0"/>
          <w:color w:val="333333"/>
          <w:spacing w:val="0"/>
          <w:kern w:val="0"/>
          <w:sz w:val="28"/>
          <w:szCs w:val="28"/>
          <w:bdr w:val="none" w:color="auto" w:sz="0" w:space="0"/>
          <w:lang w:val="en-US" w:eastAsia="zh-CN" w:bidi="ar"/>
        </w:rPr>
        <w:t>第十五条</w:t>
      </w:r>
      <w:r>
        <w:rPr>
          <w:rFonts w:hint="eastAsia" w:asciiTheme="minorEastAsia" w:hAnsiTheme="minorEastAsia" w:eastAsiaTheme="minorEastAsia" w:cstheme="minorEastAsia"/>
          <w:i w:val="0"/>
          <w:iCs w:val="0"/>
          <w:caps w:val="0"/>
          <w:color w:val="333333"/>
          <w:spacing w:val="0"/>
          <w:kern w:val="0"/>
          <w:sz w:val="28"/>
          <w:szCs w:val="28"/>
          <w:bdr w:val="none" w:color="auto" w:sz="0" w:space="0"/>
          <w:lang w:val="en-US" w:eastAsia="zh-CN" w:bidi="ar"/>
        </w:rPr>
        <w:t> 证券公司从事证券经纪业务营销活动，在符合相关法律法规规定的前提下，可以向投资者提供市场资讯、投资者教育服务等其他证券业务性质的服务，不得提供其他非证券业务性质的服务。</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0" w:lineRule="atLeast"/>
        <w:ind w:left="0" w:right="0" w:firstLine="482"/>
        <w:jc w:val="both"/>
        <w:rPr>
          <w:rFonts w:hint="eastAsia" w:asciiTheme="minorEastAsia" w:hAnsiTheme="minorEastAsia" w:eastAsiaTheme="minorEastAsia" w:cstheme="minorEastAsia"/>
          <w:i w:val="0"/>
          <w:iCs w:val="0"/>
          <w:sz w:val="28"/>
          <w:szCs w:val="28"/>
        </w:rPr>
      </w:pPr>
      <w:r>
        <w:rPr>
          <w:rFonts w:hint="eastAsia" w:asciiTheme="minorEastAsia" w:hAnsiTheme="minorEastAsia" w:eastAsiaTheme="minorEastAsia" w:cstheme="minorEastAsia"/>
          <w:b/>
          <w:bCs/>
          <w:i w:val="0"/>
          <w:iCs w:val="0"/>
          <w:caps w:val="0"/>
          <w:color w:val="333333"/>
          <w:spacing w:val="0"/>
          <w:kern w:val="0"/>
          <w:sz w:val="28"/>
          <w:szCs w:val="28"/>
          <w:bdr w:val="none" w:color="auto" w:sz="0" w:space="0"/>
          <w:lang w:val="en-US" w:eastAsia="zh-CN" w:bidi="ar"/>
        </w:rPr>
        <w:t>第十六条</w:t>
      </w:r>
      <w:r>
        <w:rPr>
          <w:rFonts w:hint="eastAsia" w:asciiTheme="minorEastAsia" w:hAnsiTheme="minorEastAsia" w:eastAsiaTheme="minorEastAsia" w:cstheme="minorEastAsia"/>
          <w:i w:val="0"/>
          <w:iCs w:val="0"/>
          <w:caps w:val="0"/>
          <w:color w:val="333333"/>
          <w:spacing w:val="0"/>
          <w:kern w:val="0"/>
          <w:sz w:val="28"/>
          <w:szCs w:val="28"/>
          <w:bdr w:val="none" w:color="auto" w:sz="0" w:space="0"/>
          <w:lang w:val="en-US" w:eastAsia="zh-CN" w:bidi="ar"/>
        </w:rPr>
        <w:t> 证券公司应当切实提升服务质量，不得以任何形式实施垄断，不得有恶意低价揽客等不正当竞争行为。</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0" w:lineRule="atLeast"/>
        <w:ind w:left="0" w:right="0" w:firstLine="480"/>
        <w:jc w:val="both"/>
        <w:rPr>
          <w:rFonts w:hint="eastAsia" w:asciiTheme="minorEastAsia" w:hAnsiTheme="minorEastAsia" w:eastAsiaTheme="minorEastAsia" w:cstheme="minorEastAsia"/>
          <w:i w:val="0"/>
          <w:iCs w:val="0"/>
          <w:sz w:val="28"/>
          <w:szCs w:val="28"/>
        </w:rPr>
      </w:pPr>
      <w:r>
        <w:rPr>
          <w:rFonts w:hint="eastAsia" w:asciiTheme="minorEastAsia" w:hAnsiTheme="minorEastAsia" w:eastAsiaTheme="minorEastAsia" w:cstheme="minorEastAsia"/>
          <w:i w:val="0"/>
          <w:iCs w:val="0"/>
          <w:caps w:val="0"/>
          <w:color w:val="333333"/>
          <w:spacing w:val="0"/>
          <w:kern w:val="0"/>
          <w:sz w:val="28"/>
          <w:szCs w:val="28"/>
          <w:bdr w:val="none" w:color="auto" w:sz="0" w:space="0"/>
          <w:lang w:val="en-US" w:eastAsia="zh-CN" w:bidi="ar"/>
        </w:rPr>
        <w:t>证券公司应当按照科学合理的方法测算服务成本，测算方法应当经过合规部门和财务部门认可，一经确定不得随意变更。证券公司应当在公司网站、营业场所、客户端同时以具体数值或区间范围等形式公示交易品种的佣金收取标准，并按公示标准收取。</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0" w:lineRule="atLeast"/>
        <w:ind w:left="0" w:right="0" w:firstLine="482"/>
        <w:jc w:val="both"/>
        <w:rPr>
          <w:rFonts w:hint="eastAsia" w:asciiTheme="minorEastAsia" w:hAnsiTheme="minorEastAsia" w:eastAsiaTheme="minorEastAsia" w:cstheme="minorEastAsia"/>
          <w:i w:val="0"/>
          <w:iCs w:val="0"/>
          <w:sz w:val="28"/>
          <w:szCs w:val="28"/>
        </w:rPr>
      </w:pPr>
      <w:r>
        <w:rPr>
          <w:rFonts w:hint="eastAsia" w:asciiTheme="minorEastAsia" w:hAnsiTheme="minorEastAsia" w:eastAsiaTheme="minorEastAsia" w:cstheme="minorEastAsia"/>
          <w:b/>
          <w:bCs/>
          <w:i w:val="0"/>
          <w:iCs w:val="0"/>
          <w:caps w:val="0"/>
          <w:color w:val="333333"/>
          <w:spacing w:val="0"/>
          <w:kern w:val="0"/>
          <w:sz w:val="28"/>
          <w:szCs w:val="28"/>
          <w:bdr w:val="none" w:color="auto" w:sz="0" w:space="0"/>
          <w:lang w:val="en-US" w:eastAsia="zh-CN" w:bidi="ar"/>
        </w:rPr>
        <w:t>第十七条</w:t>
      </w:r>
      <w:r>
        <w:rPr>
          <w:rFonts w:hint="eastAsia" w:asciiTheme="minorEastAsia" w:hAnsiTheme="minorEastAsia" w:eastAsiaTheme="minorEastAsia" w:cstheme="minorEastAsia"/>
          <w:i w:val="0"/>
          <w:iCs w:val="0"/>
          <w:caps w:val="0"/>
          <w:color w:val="333333"/>
          <w:spacing w:val="0"/>
          <w:kern w:val="0"/>
          <w:sz w:val="28"/>
          <w:szCs w:val="28"/>
          <w:bdr w:val="none" w:color="auto" w:sz="0" w:space="0"/>
          <w:lang w:val="en-US" w:eastAsia="zh-CN" w:bidi="ar"/>
        </w:rPr>
        <w:t> 证券公司选择新闻媒体、互联网信息平台等第三方载体投放广告的，应当与第三方载体签署协议。协议中应当明确约定，第三方载体仅可发布经过证券公司审核的材料，且不得以个人名义或第三方载体名义宣传证券公司业务、代证券公司招揽、服务投资者。</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0" w:lineRule="atLeast"/>
        <w:ind w:left="0" w:right="0" w:firstLine="480"/>
        <w:jc w:val="both"/>
        <w:rPr>
          <w:rFonts w:hint="eastAsia" w:asciiTheme="minorEastAsia" w:hAnsiTheme="minorEastAsia" w:eastAsiaTheme="minorEastAsia" w:cstheme="minorEastAsia"/>
          <w:i w:val="0"/>
          <w:iCs w:val="0"/>
          <w:sz w:val="28"/>
          <w:szCs w:val="28"/>
        </w:rPr>
      </w:pPr>
      <w:r>
        <w:rPr>
          <w:rFonts w:hint="eastAsia" w:asciiTheme="minorEastAsia" w:hAnsiTheme="minorEastAsia" w:eastAsiaTheme="minorEastAsia" w:cstheme="minorEastAsia"/>
          <w:i w:val="0"/>
          <w:iCs w:val="0"/>
          <w:caps w:val="0"/>
          <w:color w:val="333333"/>
          <w:spacing w:val="0"/>
          <w:kern w:val="0"/>
          <w:sz w:val="28"/>
          <w:szCs w:val="28"/>
          <w:bdr w:val="none" w:color="auto" w:sz="0" w:space="0"/>
          <w:lang w:val="en-US" w:eastAsia="zh-CN" w:bidi="ar"/>
        </w:rPr>
        <w:t>投资者招揽、接收交易指令等证券业务的任一环节，应当由证券公司独立完成，第三方载体不得介入。</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0" w:lineRule="atLeast"/>
        <w:ind w:left="0" w:right="0" w:firstLine="482"/>
        <w:jc w:val="both"/>
        <w:rPr>
          <w:rFonts w:hint="eastAsia" w:asciiTheme="minorEastAsia" w:hAnsiTheme="minorEastAsia" w:eastAsiaTheme="minorEastAsia" w:cstheme="minorEastAsia"/>
          <w:i w:val="0"/>
          <w:iCs w:val="0"/>
          <w:sz w:val="28"/>
          <w:szCs w:val="28"/>
        </w:rPr>
      </w:pPr>
      <w:r>
        <w:rPr>
          <w:rFonts w:hint="eastAsia" w:asciiTheme="minorEastAsia" w:hAnsiTheme="minorEastAsia" w:eastAsiaTheme="minorEastAsia" w:cstheme="minorEastAsia"/>
          <w:b/>
          <w:bCs/>
          <w:i w:val="0"/>
          <w:iCs w:val="0"/>
          <w:caps w:val="0"/>
          <w:color w:val="333333"/>
          <w:spacing w:val="0"/>
          <w:kern w:val="0"/>
          <w:sz w:val="28"/>
          <w:szCs w:val="28"/>
          <w:bdr w:val="none" w:color="auto" w:sz="0" w:space="0"/>
          <w:lang w:val="en-US" w:eastAsia="zh-CN" w:bidi="ar"/>
        </w:rPr>
        <w:t>第十八条</w:t>
      </w:r>
      <w:r>
        <w:rPr>
          <w:rFonts w:hint="eastAsia" w:asciiTheme="minorEastAsia" w:hAnsiTheme="minorEastAsia" w:eastAsiaTheme="minorEastAsia" w:cstheme="minorEastAsia"/>
          <w:i w:val="0"/>
          <w:iCs w:val="0"/>
          <w:caps w:val="0"/>
          <w:color w:val="333333"/>
          <w:spacing w:val="0"/>
          <w:kern w:val="0"/>
          <w:sz w:val="28"/>
          <w:szCs w:val="28"/>
          <w:bdr w:val="none" w:color="auto" w:sz="0" w:space="0"/>
          <w:lang w:val="en-US" w:eastAsia="zh-CN" w:bidi="ar"/>
        </w:rPr>
        <w:t> 证券公司应当公示证券经纪业务投资者资金收付渠道，并提示投资者在进行交易结算资金收付时，应当通过证券公司或三方存管银行的银证转账功能进行，不得通过其他渠道进行资金收付,法律法规另有规定的除外。</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0" w:lineRule="atLeast"/>
        <w:ind w:left="0" w:right="0" w:firstLine="480"/>
        <w:jc w:val="both"/>
        <w:rPr>
          <w:rFonts w:hint="eastAsia" w:asciiTheme="minorEastAsia" w:hAnsiTheme="minorEastAsia" w:eastAsiaTheme="minorEastAsia" w:cstheme="minorEastAsia"/>
          <w:i w:val="0"/>
          <w:iCs w:val="0"/>
          <w:sz w:val="28"/>
          <w:szCs w:val="28"/>
        </w:rPr>
      </w:pPr>
      <w:r>
        <w:rPr>
          <w:rFonts w:hint="eastAsia" w:asciiTheme="minorEastAsia" w:hAnsiTheme="minorEastAsia" w:eastAsiaTheme="minorEastAsia" w:cstheme="minorEastAsia"/>
          <w:i w:val="0"/>
          <w:iCs w:val="0"/>
          <w:caps w:val="0"/>
          <w:color w:val="333333"/>
          <w:spacing w:val="0"/>
          <w:kern w:val="0"/>
          <w:sz w:val="28"/>
          <w:szCs w:val="28"/>
          <w:bdr w:val="none" w:color="auto" w:sz="0" w:space="0"/>
          <w:lang w:val="en-US" w:eastAsia="zh-CN" w:bidi="ar"/>
        </w:rPr>
        <w:t>证券公司应当公示与营销、开户、交易等证券经纪业务任一环节相关，且具有对外展业功能的信息系统相关信息。</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0" w:lineRule="atLeast"/>
        <w:ind w:left="0" w:right="0"/>
        <w:jc w:val="center"/>
        <w:rPr>
          <w:rFonts w:hint="eastAsia" w:asciiTheme="minorEastAsia" w:hAnsiTheme="minorEastAsia" w:eastAsiaTheme="minorEastAsia" w:cstheme="minorEastAsia"/>
          <w:i w:val="0"/>
          <w:iCs w:val="0"/>
          <w:sz w:val="28"/>
          <w:szCs w:val="28"/>
        </w:rPr>
      </w:pPr>
      <w:r>
        <w:rPr>
          <w:rFonts w:hint="eastAsia" w:asciiTheme="minorEastAsia" w:hAnsiTheme="minorEastAsia" w:eastAsiaTheme="minorEastAsia" w:cstheme="minorEastAsia"/>
          <w:b/>
          <w:bCs/>
          <w:i w:val="0"/>
          <w:iCs w:val="0"/>
          <w:caps w:val="0"/>
          <w:color w:val="333333"/>
          <w:spacing w:val="0"/>
          <w:kern w:val="0"/>
          <w:sz w:val="28"/>
          <w:szCs w:val="28"/>
          <w:bdr w:val="none" w:color="auto" w:sz="0" w:space="0"/>
          <w:lang w:val="en-US" w:eastAsia="zh-CN" w:bidi="ar"/>
        </w:rPr>
        <w:t>第四章 保障措施</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0" w:lineRule="atLeast"/>
        <w:ind w:left="0" w:right="0" w:firstLine="482"/>
        <w:jc w:val="both"/>
        <w:rPr>
          <w:rFonts w:hint="eastAsia" w:asciiTheme="minorEastAsia" w:hAnsiTheme="minorEastAsia" w:eastAsiaTheme="minorEastAsia" w:cstheme="minorEastAsia"/>
          <w:i w:val="0"/>
          <w:iCs w:val="0"/>
          <w:sz w:val="28"/>
          <w:szCs w:val="28"/>
        </w:rPr>
      </w:pPr>
      <w:r>
        <w:rPr>
          <w:rFonts w:hint="eastAsia" w:asciiTheme="minorEastAsia" w:hAnsiTheme="minorEastAsia" w:eastAsiaTheme="minorEastAsia" w:cstheme="minorEastAsia"/>
          <w:b/>
          <w:bCs/>
          <w:i w:val="0"/>
          <w:iCs w:val="0"/>
          <w:caps w:val="0"/>
          <w:color w:val="333333"/>
          <w:spacing w:val="0"/>
          <w:kern w:val="0"/>
          <w:sz w:val="28"/>
          <w:szCs w:val="28"/>
          <w:bdr w:val="none" w:color="auto" w:sz="0" w:space="0"/>
          <w:lang w:val="en-US" w:eastAsia="zh-CN" w:bidi="ar"/>
        </w:rPr>
        <w:t>第十九条</w:t>
      </w:r>
      <w:r>
        <w:rPr>
          <w:rFonts w:hint="eastAsia" w:asciiTheme="minorEastAsia" w:hAnsiTheme="minorEastAsia" w:eastAsiaTheme="minorEastAsia" w:cstheme="minorEastAsia"/>
          <w:i w:val="0"/>
          <w:iCs w:val="0"/>
          <w:caps w:val="0"/>
          <w:color w:val="333333"/>
          <w:spacing w:val="0"/>
          <w:kern w:val="0"/>
          <w:sz w:val="28"/>
          <w:szCs w:val="28"/>
          <w:bdr w:val="none" w:color="auto" w:sz="0" w:space="0"/>
          <w:lang w:val="en-US" w:eastAsia="zh-CN" w:bidi="ar"/>
        </w:rPr>
        <w:t> 证券公司应当遵循合法、正当、必要和诚信原则，按照法律法规的规定及相关协议约定处理投资者个人信息，规范投资者个人信息处理行为。</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0" w:lineRule="atLeast"/>
        <w:ind w:left="0" w:right="0" w:firstLine="480"/>
        <w:jc w:val="both"/>
        <w:rPr>
          <w:rFonts w:hint="eastAsia" w:asciiTheme="minorEastAsia" w:hAnsiTheme="minorEastAsia" w:eastAsiaTheme="minorEastAsia" w:cstheme="minorEastAsia"/>
          <w:i w:val="0"/>
          <w:iCs w:val="0"/>
          <w:sz w:val="28"/>
          <w:szCs w:val="28"/>
        </w:rPr>
      </w:pPr>
      <w:r>
        <w:rPr>
          <w:rFonts w:hint="eastAsia" w:asciiTheme="minorEastAsia" w:hAnsiTheme="minorEastAsia" w:eastAsiaTheme="minorEastAsia" w:cstheme="minorEastAsia"/>
          <w:i w:val="0"/>
          <w:iCs w:val="0"/>
          <w:caps w:val="0"/>
          <w:color w:val="333333"/>
          <w:spacing w:val="0"/>
          <w:kern w:val="0"/>
          <w:sz w:val="28"/>
          <w:szCs w:val="28"/>
          <w:bdr w:val="none" w:color="auto" w:sz="0" w:space="0"/>
          <w:lang w:val="en-US" w:eastAsia="zh-CN" w:bidi="ar"/>
        </w:rPr>
        <w:t>证券公司应当加强信息系统权限管理，证券公司及从业人员不得超出正常业务范围使用投资者信息，不得泄露未公开信息。</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0" w:lineRule="atLeast"/>
        <w:ind w:left="0" w:right="0" w:firstLine="482"/>
        <w:jc w:val="both"/>
        <w:rPr>
          <w:rFonts w:hint="eastAsia" w:asciiTheme="minorEastAsia" w:hAnsiTheme="minorEastAsia" w:eastAsiaTheme="minorEastAsia" w:cstheme="minorEastAsia"/>
          <w:i w:val="0"/>
          <w:iCs w:val="0"/>
          <w:sz w:val="28"/>
          <w:szCs w:val="28"/>
        </w:rPr>
      </w:pPr>
      <w:r>
        <w:rPr>
          <w:rFonts w:hint="eastAsia" w:asciiTheme="minorEastAsia" w:hAnsiTheme="minorEastAsia" w:eastAsiaTheme="minorEastAsia" w:cstheme="minorEastAsia"/>
          <w:b/>
          <w:bCs/>
          <w:i w:val="0"/>
          <w:iCs w:val="0"/>
          <w:caps w:val="0"/>
          <w:color w:val="333333"/>
          <w:spacing w:val="0"/>
          <w:kern w:val="0"/>
          <w:sz w:val="28"/>
          <w:szCs w:val="28"/>
          <w:bdr w:val="none" w:color="auto" w:sz="0" w:space="0"/>
          <w:lang w:val="en-US" w:eastAsia="zh-CN" w:bidi="ar"/>
        </w:rPr>
        <w:t>第二十条</w:t>
      </w:r>
      <w:r>
        <w:rPr>
          <w:rFonts w:hint="eastAsia" w:asciiTheme="minorEastAsia" w:hAnsiTheme="minorEastAsia" w:eastAsiaTheme="minorEastAsia" w:cstheme="minorEastAsia"/>
          <w:i w:val="0"/>
          <w:iCs w:val="0"/>
          <w:caps w:val="0"/>
          <w:color w:val="333333"/>
          <w:spacing w:val="0"/>
          <w:kern w:val="0"/>
          <w:sz w:val="28"/>
          <w:szCs w:val="28"/>
          <w:bdr w:val="none" w:color="auto" w:sz="0" w:space="0"/>
          <w:lang w:val="en-US" w:eastAsia="zh-CN" w:bidi="ar"/>
        </w:rPr>
        <w:t> 证券公司应当在涉及客户权益变动相关业务的经办人员之间建立制衡机制。涉及客户资金账户及证券账户的开立、信息修改、注销，建立及变更客户资金存管关系，客户证券账户转托管和撤销指定交易等与客户权益直接相关的业务应当一人操作、一人复核，复核应当留痕。涉及限制客户资产转移、改变客户证券账户和资金账户的对应关系、客户账户资产变动记录的差错确认与调整等非常规性业务操作，应当事先审批，事后复核，审批及复核均应留痕。</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0" w:lineRule="atLeast"/>
        <w:ind w:left="0" w:right="0" w:firstLine="482"/>
        <w:jc w:val="both"/>
        <w:rPr>
          <w:rFonts w:hint="eastAsia" w:asciiTheme="minorEastAsia" w:hAnsiTheme="minorEastAsia" w:eastAsiaTheme="minorEastAsia" w:cstheme="minorEastAsia"/>
          <w:i w:val="0"/>
          <w:iCs w:val="0"/>
          <w:sz w:val="28"/>
          <w:szCs w:val="28"/>
        </w:rPr>
      </w:pPr>
      <w:r>
        <w:rPr>
          <w:rFonts w:hint="eastAsia" w:asciiTheme="minorEastAsia" w:hAnsiTheme="minorEastAsia" w:eastAsiaTheme="minorEastAsia" w:cstheme="minorEastAsia"/>
          <w:b/>
          <w:bCs/>
          <w:i w:val="0"/>
          <w:iCs w:val="0"/>
          <w:caps w:val="0"/>
          <w:color w:val="333333"/>
          <w:spacing w:val="0"/>
          <w:kern w:val="0"/>
          <w:sz w:val="28"/>
          <w:szCs w:val="28"/>
          <w:bdr w:val="none" w:color="auto" w:sz="0" w:space="0"/>
          <w:lang w:val="en-US" w:eastAsia="zh-CN" w:bidi="ar"/>
        </w:rPr>
        <w:t>第二十一条</w:t>
      </w:r>
      <w:r>
        <w:rPr>
          <w:rFonts w:hint="eastAsia" w:asciiTheme="minorEastAsia" w:hAnsiTheme="minorEastAsia" w:eastAsiaTheme="minorEastAsia" w:cstheme="minorEastAsia"/>
          <w:i w:val="0"/>
          <w:iCs w:val="0"/>
          <w:caps w:val="0"/>
          <w:color w:val="333333"/>
          <w:spacing w:val="0"/>
          <w:kern w:val="0"/>
          <w:sz w:val="28"/>
          <w:szCs w:val="28"/>
          <w:bdr w:val="none" w:color="auto" w:sz="0" w:space="0"/>
          <w:lang w:val="en-US" w:eastAsia="zh-CN" w:bidi="ar"/>
        </w:rPr>
        <w:t> 证券公司应当妥善保管投资者身份资料、证券交易、财产状况等信息，采取有效措施保障投资者信息安全。上述信息的保存期限自销户之日起不得少于二十年。</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0" w:lineRule="atLeast"/>
        <w:ind w:left="0" w:right="0" w:firstLine="482"/>
        <w:jc w:val="both"/>
        <w:rPr>
          <w:rFonts w:hint="eastAsia" w:asciiTheme="minorEastAsia" w:hAnsiTheme="minorEastAsia" w:eastAsiaTheme="minorEastAsia" w:cstheme="minorEastAsia"/>
          <w:i w:val="0"/>
          <w:iCs w:val="0"/>
          <w:sz w:val="28"/>
          <w:szCs w:val="28"/>
        </w:rPr>
      </w:pPr>
      <w:r>
        <w:rPr>
          <w:rFonts w:hint="eastAsia" w:asciiTheme="minorEastAsia" w:hAnsiTheme="minorEastAsia" w:eastAsiaTheme="minorEastAsia" w:cstheme="minorEastAsia"/>
          <w:b/>
          <w:bCs/>
          <w:i w:val="0"/>
          <w:iCs w:val="0"/>
          <w:caps w:val="0"/>
          <w:color w:val="333333"/>
          <w:spacing w:val="0"/>
          <w:kern w:val="0"/>
          <w:sz w:val="28"/>
          <w:szCs w:val="28"/>
          <w:bdr w:val="none" w:color="auto" w:sz="0" w:space="0"/>
          <w:lang w:val="en-US" w:eastAsia="zh-CN" w:bidi="ar"/>
        </w:rPr>
        <w:t>第二十二条</w:t>
      </w:r>
      <w:r>
        <w:rPr>
          <w:rFonts w:hint="eastAsia" w:asciiTheme="minorEastAsia" w:hAnsiTheme="minorEastAsia" w:eastAsiaTheme="minorEastAsia" w:cstheme="minorEastAsia"/>
          <w:i w:val="0"/>
          <w:iCs w:val="0"/>
          <w:caps w:val="0"/>
          <w:color w:val="333333"/>
          <w:spacing w:val="0"/>
          <w:kern w:val="0"/>
          <w:sz w:val="28"/>
          <w:szCs w:val="28"/>
          <w:bdr w:val="none" w:color="auto" w:sz="0" w:space="0"/>
          <w:lang w:val="en-US" w:eastAsia="zh-CN" w:bidi="ar"/>
        </w:rPr>
        <w:t> 证券公司应当定期开展证券经纪业务常规稽核审计，对总部证券经纪业务部门和分支机构应当至少每三年进行一次常规稽核审计。</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0" w:lineRule="atLeast"/>
        <w:ind w:left="0" w:right="0" w:firstLine="480"/>
        <w:jc w:val="both"/>
        <w:rPr>
          <w:rFonts w:hint="eastAsia" w:asciiTheme="minorEastAsia" w:hAnsiTheme="minorEastAsia" w:eastAsiaTheme="minorEastAsia" w:cstheme="minorEastAsia"/>
          <w:i w:val="0"/>
          <w:iCs w:val="0"/>
          <w:sz w:val="28"/>
          <w:szCs w:val="28"/>
        </w:rPr>
      </w:pPr>
      <w:r>
        <w:rPr>
          <w:rFonts w:hint="eastAsia" w:asciiTheme="minorEastAsia" w:hAnsiTheme="minorEastAsia" w:eastAsiaTheme="minorEastAsia" w:cstheme="minorEastAsia"/>
          <w:i w:val="0"/>
          <w:iCs w:val="0"/>
          <w:caps w:val="0"/>
          <w:color w:val="333333"/>
          <w:spacing w:val="0"/>
          <w:kern w:val="0"/>
          <w:sz w:val="28"/>
          <w:szCs w:val="28"/>
          <w:bdr w:val="none" w:color="auto" w:sz="0" w:space="0"/>
          <w:lang w:val="en-US" w:eastAsia="zh-CN" w:bidi="ar"/>
        </w:rPr>
        <w:t>常规稽核审计的内容包括：有无挪用客户资产、有无接受客户全权委托、有无向客户提供不适当的交易服务、有无违规融资及担保、有无向客户承诺收益、有无超范围经营、有无违规为客户办理账户业务、有无重大信息安全事故、有无重大突发事件、有无未了结客户纠纷等，以及相关分支机构负责人在上述事项中的责任情况等。</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0" w:lineRule="atLeast"/>
        <w:ind w:left="0" w:right="0"/>
        <w:jc w:val="center"/>
        <w:rPr>
          <w:rFonts w:hint="eastAsia" w:asciiTheme="minorEastAsia" w:hAnsiTheme="minorEastAsia" w:eastAsiaTheme="minorEastAsia" w:cstheme="minorEastAsia"/>
          <w:i w:val="0"/>
          <w:iCs w:val="0"/>
          <w:sz w:val="28"/>
          <w:szCs w:val="28"/>
        </w:rPr>
      </w:pPr>
      <w:r>
        <w:rPr>
          <w:rFonts w:hint="eastAsia" w:asciiTheme="minorEastAsia" w:hAnsiTheme="minorEastAsia" w:eastAsiaTheme="minorEastAsia" w:cstheme="minorEastAsia"/>
          <w:b/>
          <w:bCs/>
          <w:i w:val="0"/>
          <w:iCs w:val="0"/>
          <w:caps w:val="0"/>
          <w:color w:val="333333"/>
          <w:spacing w:val="0"/>
          <w:kern w:val="0"/>
          <w:sz w:val="28"/>
          <w:szCs w:val="28"/>
          <w:bdr w:val="none" w:color="auto" w:sz="0" w:space="0"/>
          <w:lang w:val="en-US" w:eastAsia="zh-CN" w:bidi="ar"/>
        </w:rPr>
        <w:t>第五章 自律管理</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0" w:lineRule="atLeast"/>
        <w:ind w:left="0" w:right="0" w:firstLine="482"/>
        <w:jc w:val="both"/>
        <w:rPr>
          <w:rFonts w:hint="eastAsia" w:asciiTheme="minorEastAsia" w:hAnsiTheme="minorEastAsia" w:eastAsiaTheme="minorEastAsia" w:cstheme="minorEastAsia"/>
          <w:i w:val="0"/>
          <w:iCs w:val="0"/>
          <w:sz w:val="28"/>
          <w:szCs w:val="28"/>
        </w:rPr>
      </w:pPr>
      <w:r>
        <w:rPr>
          <w:rFonts w:hint="eastAsia" w:asciiTheme="minorEastAsia" w:hAnsiTheme="minorEastAsia" w:eastAsiaTheme="minorEastAsia" w:cstheme="minorEastAsia"/>
          <w:b/>
          <w:bCs/>
          <w:i w:val="0"/>
          <w:iCs w:val="0"/>
          <w:caps w:val="0"/>
          <w:color w:val="333333"/>
          <w:spacing w:val="0"/>
          <w:kern w:val="0"/>
          <w:sz w:val="28"/>
          <w:szCs w:val="28"/>
          <w:bdr w:val="none" w:color="auto" w:sz="0" w:space="0"/>
          <w:lang w:val="en-US" w:eastAsia="zh-CN" w:bidi="ar"/>
        </w:rPr>
        <w:t>第二十三条</w:t>
      </w:r>
      <w:r>
        <w:rPr>
          <w:rFonts w:hint="eastAsia" w:asciiTheme="minorEastAsia" w:hAnsiTheme="minorEastAsia" w:eastAsiaTheme="minorEastAsia" w:cstheme="minorEastAsia"/>
          <w:i w:val="0"/>
          <w:iCs w:val="0"/>
          <w:caps w:val="0"/>
          <w:color w:val="333333"/>
          <w:spacing w:val="0"/>
          <w:kern w:val="0"/>
          <w:sz w:val="28"/>
          <w:szCs w:val="28"/>
          <w:bdr w:val="none" w:color="auto" w:sz="0" w:space="0"/>
          <w:lang w:val="en-US" w:eastAsia="zh-CN" w:bidi="ar"/>
        </w:rPr>
        <w:t> 协会对证券公司从事证券经纪业务实施自律管理，可采取现场、非现场方式进行自律检查,证券公司应当予以配合。</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0" w:lineRule="atLeast"/>
        <w:ind w:left="0" w:right="0" w:firstLine="482"/>
        <w:jc w:val="both"/>
        <w:rPr>
          <w:rFonts w:hint="eastAsia" w:asciiTheme="minorEastAsia" w:hAnsiTheme="minorEastAsia" w:eastAsiaTheme="minorEastAsia" w:cstheme="minorEastAsia"/>
          <w:i w:val="0"/>
          <w:iCs w:val="0"/>
          <w:sz w:val="28"/>
          <w:szCs w:val="28"/>
        </w:rPr>
      </w:pPr>
      <w:r>
        <w:rPr>
          <w:rFonts w:hint="eastAsia" w:asciiTheme="minorEastAsia" w:hAnsiTheme="minorEastAsia" w:eastAsiaTheme="minorEastAsia" w:cstheme="minorEastAsia"/>
          <w:b/>
          <w:bCs/>
          <w:i w:val="0"/>
          <w:iCs w:val="0"/>
          <w:caps w:val="0"/>
          <w:color w:val="333333"/>
          <w:spacing w:val="0"/>
          <w:kern w:val="0"/>
          <w:sz w:val="28"/>
          <w:szCs w:val="28"/>
          <w:bdr w:val="none" w:color="auto" w:sz="0" w:space="0"/>
          <w:lang w:val="en-US" w:eastAsia="zh-CN" w:bidi="ar"/>
        </w:rPr>
        <w:t>第二十四条</w:t>
      </w:r>
      <w:r>
        <w:rPr>
          <w:rFonts w:hint="eastAsia" w:asciiTheme="minorEastAsia" w:hAnsiTheme="minorEastAsia" w:eastAsiaTheme="minorEastAsia" w:cstheme="minorEastAsia"/>
          <w:i w:val="0"/>
          <w:iCs w:val="0"/>
          <w:caps w:val="0"/>
          <w:color w:val="333333"/>
          <w:spacing w:val="0"/>
          <w:kern w:val="0"/>
          <w:sz w:val="28"/>
          <w:szCs w:val="28"/>
          <w:bdr w:val="none" w:color="auto" w:sz="0" w:space="0"/>
          <w:lang w:val="en-US" w:eastAsia="zh-CN" w:bidi="ar"/>
        </w:rPr>
        <w:t> 证券经纪业务从业人员涉嫌违法违规的，证券公司应当按照《证券行业执业声誉信息管理办法》等规定，及时向协会报告。</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0" w:lineRule="atLeast"/>
        <w:ind w:left="0" w:right="0" w:firstLine="482"/>
        <w:jc w:val="both"/>
        <w:rPr>
          <w:rFonts w:hint="eastAsia" w:asciiTheme="minorEastAsia" w:hAnsiTheme="minorEastAsia" w:eastAsiaTheme="minorEastAsia" w:cstheme="minorEastAsia"/>
          <w:i w:val="0"/>
          <w:iCs w:val="0"/>
          <w:sz w:val="28"/>
          <w:szCs w:val="28"/>
        </w:rPr>
      </w:pPr>
      <w:r>
        <w:rPr>
          <w:rFonts w:hint="eastAsia" w:asciiTheme="minorEastAsia" w:hAnsiTheme="minorEastAsia" w:eastAsiaTheme="minorEastAsia" w:cstheme="minorEastAsia"/>
          <w:b/>
          <w:bCs/>
          <w:i w:val="0"/>
          <w:iCs w:val="0"/>
          <w:caps w:val="0"/>
          <w:color w:val="333333"/>
          <w:spacing w:val="0"/>
          <w:kern w:val="0"/>
          <w:sz w:val="28"/>
          <w:szCs w:val="28"/>
          <w:bdr w:val="none" w:color="auto" w:sz="0" w:space="0"/>
          <w:lang w:val="en-US" w:eastAsia="zh-CN" w:bidi="ar"/>
        </w:rPr>
        <w:t>第二十五条</w:t>
      </w:r>
      <w:r>
        <w:rPr>
          <w:rFonts w:hint="eastAsia" w:asciiTheme="minorEastAsia" w:hAnsiTheme="minorEastAsia" w:eastAsiaTheme="minorEastAsia" w:cstheme="minorEastAsia"/>
          <w:i w:val="0"/>
          <w:iCs w:val="0"/>
          <w:caps w:val="0"/>
          <w:color w:val="333333"/>
          <w:spacing w:val="0"/>
          <w:kern w:val="0"/>
          <w:sz w:val="28"/>
          <w:szCs w:val="28"/>
          <w:bdr w:val="none" w:color="auto" w:sz="0" w:space="0"/>
          <w:lang w:val="en-US" w:eastAsia="zh-CN" w:bidi="ar"/>
        </w:rPr>
        <w:t> 对违反本细则的证券公司及从业人员，协会将视情节轻重，根据《中国证券业协会自律措施实施办法》相关规定采取自律措施。涉嫌违法违规的，移送中国证监会或司法机关处理。</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0" w:lineRule="atLeast"/>
        <w:ind w:left="0" w:right="0"/>
        <w:jc w:val="center"/>
        <w:rPr>
          <w:rFonts w:hint="eastAsia" w:asciiTheme="minorEastAsia" w:hAnsiTheme="minorEastAsia" w:eastAsiaTheme="minorEastAsia" w:cstheme="minorEastAsia"/>
          <w:i w:val="0"/>
          <w:iCs w:val="0"/>
          <w:sz w:val="28"/>
          <w:szCs w:val="28"/>
        </w:rPr>
      </w:pPr>
      <w:r>
        <w:rPr>
          <w:rFonts w:hint="eastAsia" w:asciiTheme="minorEastAsia" w:hAnsiTheme="minorEastAsia" w:eastAsiaTheme="minorEastAsia" w:cstheme="minorEastAsia"/>
          <w:b/>
          <w:bCs/>
          <w:i w:val="0"/>
          <w:iCs w:val="0"/>
          <w:caps w:val="0"/>
          <w:color w:val="333333"/>
          <w:spacing w:val="0"/>
          <w:kern w:val="0"/>
          <w:sz w:val="28"/>
          <w:szCs w:val="28"/>
          <w:bdr w:val="none" w:color="auto" w:sz="0" w:space="0"/>
          <w:lang w:val="en-US" w:eastAsia="zh-CN" w:bidi="ar"/>
        </w:rPr>
        <w:t>第六章 附则</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0" w:lineRule="atLeast"/>
        <w:ind w:left="0" w:right="0" w:firstLine="482"/>
        <w:jc w:val="both"/>
        <w:rPr>
          <w:rFonts w:hint="eastAsia" w:asciiTheme="minorEastAsia" w:hAnsiTheme="minorEastAsia" w:eastAsiaTheme="minorEastAsia" w:cstheme="minorEastAsia"/>
          <w:i w:val="0"/>
          <w:iCs w:val="0"/>
          <w:sz w:val="28"/>
          <w:szCs w:val="28"/>
        </w:rPr>
      </w:pPr>
      <w:r>
        <w:rPr>
          <w:rFonts w:hint="eastAsia" w:asciiTheme="minorEastAsia" w:hAnsiTheme="minorEastAsia" w:eastAsiaTheme="minorEastAsia" w:cstheme="minorEastAsia"/>
          <w:b/>
          <w:bCs/>
          <w:i w:val="0"/>
          <w:iCs w:val="0"/>
          <w:caps w:val="0"/>
          <w:color w:val="333333"/>
          <w:spacing w:val="0"/>
          <w:kern w:val="0"/>
          <w:sz w:val="28"/>
          <w:szCs w:val="28"/>
          <w:bdr w:val="none" w:color="auto" w:sz="0" w:space="0"/>
          <w:lang w:val="en-US" w:eastAsia="zh-CN" w:bidi="ar"/>
        </w:rPr>
        <w:t>第二十六条</w:t>
      </w:r>
      <w:r>
        <w:rPr>
          <w:rFonts w:hint="eastAsia" w:asciiTheme="minorEastAsia" w:hAnsiTheme="minorEastAsia" w:eastAsiaTheme="minorEastAsia" w:cstheme="minorEastAsia"/>
          <w:i w:val="0"/>
          <w:iCs w:val="0"/>
          <w:caps w:val="0"/>
          <w:color w:val="333333"/>
          <w:spacing w:val="0"/>
          <w:kern w:val="0"/>
          <w:sz w:val="28"/>
          <w:szCs w:val="28"/>
          <w:bdr w:val="none" w:color="auto" w:sz="0" w:space="0"/>
          <w:lang w:val="en-US" w:eastAsia="zh-CN" w:bidi="ar"/>
        </w:rPr>
        <w:t> 本细则由协会负责解释。</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0" w:lineRule="atLeast"/>
        <w:ind w:left="0" w:right="0" w:firstLine="482"/>
        <w:jc w:val="both"/>
        <w:rPr>
          <w:rFonts w:hint="eastAsia" w:asciiTheme="minorEastAsia" w:hAnsiTheme="minorEastAsia" w:eastAsiaTheme="minorEastAsia" w:cstheme="minorEastAsia"/>
          <w:i w:val="0"/>
          <w:iCs w:val="0"/>
          <w:sz w:val="28"/>
          <w:szCs w:val="28"/>
        </w:rPr>
      </w:pPr>
      <w:r>
        <w:rPr>
          <w:rFonts w:hint="eastAsia" w:asciiTheme="minorEastAsia" w:hAnsiTheme="minorEastAsia" w:eastAsiaTheme="minorEastAsia" w:cstheme="minorEastAsia"/>
          <w:b/>
          <w:bCs/>
          <w:i w:val="0"/>
          <w:iCs w:val="0"/>
          <w:caps w:val="0"/>
          <w:color w:val="333333"/>
          <w:spacing w:val="0"/>
          <w:kern w:val="0"/>
          <w:sz w:val="28"/>
          <w:szCs w:val="28"/>
          <w:bdr w:val="none" w:color="auto" w:sz="0" w:space="0"/>
          <w:lang w:val="en-US" w:eastAsia="zh-CN" w:bidi="ar"/>
        </w:rPr>
        <w:t>第二十七条</w:t>
      </w:r>
      <w:r>
        <w:rPr>
          <w:rFonts w:hint="eastAsia" w:asciiTheme="minorEastAsia" w:hAnsiTheme="minorEastAsia" w:eastAsiaTheme="minorEastAsia" w:cstheme="minorEastAsia"/>
          <w:i w:val="0"/>
          <w:iCs w:val="0"/>
          <w:caps w:val="0"/>
          <w:color w:val="333333"/>
          <w:spacing w:val="0"/>
          <w:kern w:val="0"/>
          <w:sz w:val="28"/>
          <w:szCs w:val="28"/>
          <w:bdr w:val="none" w:color="auto" w:sz="0" w:space="0"/>
          <w:lang w:val="en-US" w:eastAsia="zh-CN" w:bidi="ar"/>
        </w:rPr>
        <w:t> 本细则自发布之日起施行。</w:t>
      </w:r>
    </w:p>
    <w:p>
      <w:pPr>
        <w:rPr>
          <w:rFonts w:hint="eastAsia" w:asciiTheme="minorEastAsia" w:hAnsiTheme="minorEastAsia" w:eastAsiaTheme="minorEastAsia" w:cstheme="minorEastAsia"/>
          <w:sz w:val="28"/>
          <w:szCs w:val="28"/>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仿宋">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F9C6579"/>
    <w:rsid w:val="1F9C657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character" w:styleId="5">
    <w:name w:val="Hyperlink"/>
    <w:basedOn w:val="4"/>
    <w:uiPriority w:val="0"/>
    <w:rPr>
      <w:color w:val="0000FF"/>
      <w:u w:val="single"/>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Office_11.8.2.11716_F1E327BC-269C-435d-A152-05C5408002CA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2024-12-04T05:51:00Z</dcterms:created>
  <dc:creator>sunshiwei</dc:creator>
  <cp:lastModifiedBy>sunshiwei</cp:lastModifiedBy>
  <dcterms:modified xsi:type="dcterms:W3CDTF">2024-12-04T05:52:08Z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2052-11.8.2.11716</vt:lpwstr>
  </property>
  <property fmtid="{D5CDD505-2E9C-101B-9397-08002B2CF9AE}" pid="3" name="ICV">
    <vt:lpwstr>331BD6C6103644FBA31A1D9673375E5E</vt:lpwstr>
  </property>
</Properties>
</file>