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212BFE" w14:paraId="1E207724" wp14:textId="1472652F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B212BFE" w:rsidR="5B212BF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Instruções para tratamento dos dados</w:t>
      </w:r>
    </w:p>
    <w:p w:rsidR="5B212BFE" w:rsidP="5B212BFE" w:rsidRDefault="5B212BFE" w14:paraId="55756EB6" w14:textId="28F62F2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B212BFE" w:rsidR="5B212B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Observações gerais</w:t>
      </w:r>
    </w:p>
    <w:p w:rsidR="5B212BFE" w:rsidP="5B212BFE" w:rsidRDefault="5B212BFE" w14:paraId="47F6B74F" w14:textId="7A15E55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modelo é um modelo real, portanto, as séries devem ser deflacionadas.</w:t>
      </w:r>
    </w:p>
    <w:p w:rsidR="5B212BFE" w:rsidP="5B212BFE" w:rsidRDefault="5B212BFE" w14:paraId="1C8E2883" w14:textId="68CA27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 usar variáveis em números índices. Neste caso Y ≠ C?</w:t>
      </w:r>
    </w:p>
    <w:p w:rsidR="5B212BFE" w:rsidP="5B212BFE" w:rsidRDefault="5B212BFE" w14:paraId="05DA319D" w14:textId="24573D3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Variáveis com tendência (como consumo e PIB): dada a tendência, devemos fazer um mapeamento entre os dados não-estacionários (da base de dados) para uma variável estacionária (como é no modelo).</w:t>
      </w:r>
    </w:p>
    <w:p w:rsidR="5B212BFE" w:rsidP="5B212BFE" w:rsidRDefault="5B212BFE" w14:paraId="210ED2E2" w14:textId="69A5468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Taxa de juros normalmente é medida em termos anuais e, portanto, devemos ajustar a frequência para corresponder ao modelo.</w:t>
      </w:r>
    </w:p>
    <w:p w:rsidR="5B212BFE" w:rsidP="5B212BFE" w:rsidRDefault="5B212BFE" w14:paraId="2F37DE94" w14:textId="38B4D13C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212BFE" w:rsidR="5B212B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Ajuste sazonal</w:t>
      </w:r>
    </w:p>
    <w:p w:rsidR="5B212BFE" w:rsidP="5B212BFE" w:rsidRDefault="5B212BFE" w14:paraId="45F8A7AA" w14:textId="43C7BAC7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Modelos DSGE são feitos para capturar variações no ciclo de negócios, não lidam bem com padrões sazonais. Portanto, </w:t>
      </w:r>
      <w:r w:rsidRPr="5B212BFE" w:rsidR="5B212B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os dados devem ser ajustados sazonalmente. </w:t>
      </w:r>
      <w:r w:rsidRPr="5B212BFE" w:rsidR="5B212B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Ajuste sazonal tipicamente é feito usando alguma variação de X11. Esse procedimento pode ser obtido em:</w:t>
      </w:r>
    </w:p>
    <w:p w:rsidR="5B212BFE" w:rsidP="5B212BFE" w:rsidRDefault="5B212BFE" w14:paraId="2917CCC9" w14:textId="0D78E7AF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</w:pPr>
      <w:hyperlink r:id="R869805577fc5429f">
        <w:r w:rsidRPr="5B212BFE" w:rsidR="5B212BF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https://www.census.gov/srd/www/x13as/</w:t>
        </w:r>
      </w:hyperlink>
    </w:p>
    <w:p w:rsidR="5B212BFE" w:rsidP="5B212BFE" w:rsidRDefault="5B212BFE" w14:paraId="0F9CB587" w14:textId="713A04D2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B212BFE" w:rsidR="5B212B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Retirada de tendência</w:t>
      </w:r>
    </w:p>
    <w:p w:rsidR="5B212BFE" w:rsidP="5B212BFE" w:rsidRDefault="5B212BFE" w14:paraId="384F76C1" w14:textId="4048E285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Modos comuns de retirar tendência:</w:t>
      </w:r>
    </w:p>
    <w:p w:rsidR="5B212BFE" w:rsidP="5B212BFE" w:rsidRDefault="5B212BFE" w14:paraId="0899EF0D" w14:textId="63BC2E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Filtro HP </w:t>
      </w:r>
      <w:proofErr w:type="spellStart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one-sided</w:t>
      </w:r>
      <w:proofErr w:type="spellEnd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(Stock </w:t>
      </w:r>
      <w:proofErr w:type="spellStart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and</w:t>
      </w:r>
      <w:proofErr w:type="spellEnd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Watson, 1999).</w:t>
      </w:r>
    </w:p>
    <w:p w:rsidR="5B212BFE" w:rsidP="5B212BFE" w:rsidRDefault="5B212BFE" w14:paraId="26DDCE3D" w14:textId="0E19735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Tendência linear (King </w:t>
      </w:r>
      <w:proofErr w:type="spellStart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and</w:t>
      </w:r>
      <w:proofErr w:type="spellEnd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Rebelo, 1999).</w:t>
      </w:r>
    </w:p>
    <w:p w:rsidR="5B212BFE" w:rsidP="5B212BFE" w:rsidRDefault="5B212BFE" w14:paraId="082F1176" w14:textId="023458F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Filtro de primeira diferença (</w:t>
      </w:r>
      <w:proofErr w:type="spellStart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Smets</w:t>
      </w:r>
      <w:proofErr w:type="spellEnd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proofErr w:type="spellStart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and</w:t>
      </w:r>
      <w:proofErr w:type="spellEnd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proofErr w:type="spellStart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Wouters</w:t>
      </w:r>
      <w:proofErr w:type="spellEnd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, 2007).</w:t>
      </w:r>
    </w:p>
    <w:p w:rsidR="5B212BFE" w:rsidP="5B212BFE" w:rsidRDefault="5B212BFE" w14:paraId="3BDE127B" w14:textId="4FB52E9E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pt-BR"/>
        </w:rPr>
        <w:t>Questão importante:</w:t>
      </w:r>
      <w:r w:rsidRPr="5B212BFE" w:rsidR="5B212B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Estes métodos diferem quanto à média incondicional da variável sem tendência, em alguns casos a variável terá média incondicional igual a zero, em outros casos, não. Aqui você tem que considerar como as variáveis do modelo são reportadas, retira-se a média também ou é mantida?</w:t>
      </w:r>
    </w:p>
    <w:p w:rsidR="5B212BFE" w:rsidP="5B212BFE" w:rsidRDefault="5B212BFE" w14:paraId="324535DC" w14:textId="1C0D0B07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Referências para os métodos:</w:t>
      </w:r>
    </w:p>
    <w:p w:rsidR="5B212BFE" w:rsidP="5B212BFE" w:rsidRDefault="5B212BFE" w14:paraId="37B9FC34" w14:textId="588DD107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(2018) </w:t>
      </w:r>
      <w:proofErr w:type="spellStart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Pfeifer</w:t>
      </w:r>
      <w:proofErr w:type="spellEnd"/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- Seção 4.</w:t>
      </w:r>
    </w:p>
    <w:p w:rsidR="5B212BFE" w:rsidP="5B212BFE" w:rsidRDefault="5B212BFE" w14:paraId="10E05128" w14:textId="3EF9FCE0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(2007) </w:t>
      </w: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DeJong</w:t>
      </w:r>
      <w:r w:rsidRPr="5B212BFE" w:rsidR="5B212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, Dave - Seção 3.1.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85F8CE"/>
  <w15:docId w15:val="{a83bc427-d6d1-4a2c-8710-1b0ecbcb904d}"/>
  <w:rsids>
    <w:rsidRoot w:val="0585F8CE"/>
    <w:rsid w:val="0585F8CE"/>
    <w:rsid w:val="5B212B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ensus.gov/srd/www/x13as/" TargetMode="External" Id="R869805577fc5429f" /><Relationship Type="http://schemas.openxmlformats.org/officeDocument/2006/relationships/numbering" Target="/word/numbering.xml" Id="Re177a32a3a2b40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2020-04-13T19:53:55.5734138Z</dcterms:created>
  <dcterms:modified xsi:type="dcterms:W3CDTF">2020-04-13T20:21:26.6153916Z</dcterms:modified>
  <dc:creator>Paulo Victor Fonseca</dc:creator>
  <lastModifiedBy>Paulo Victor Fonseca</lastModifiedBy>
</coreProperties>
</file>