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1601" w14:textId="5BEB910A" w:rsidR="00B9058D" w:rsidRDefault="00B9058D" w:rsidP="0096769C">
      <w:pPr>
        <w:spacing w:line="240" w:lineRule="auto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B9058D">
        <w:rPr>
          <w:rFonts w:ascii="Times New Roman" w:hAnsi="Times New Roman" w:cs="Times New Roman"/>
          <w:b/>
          <w:i/>
          <w:iCs/>
          <w:sz w:val="28"/>
          <w:szCs w:val="28"/>
        </w:rPr>
        <w:t>Flexible Operation of Renewable Fuel Production Navigating Long-</w:t>
      </w:r>
      <w:r w:rsidR="00E7146C">
        <w:rPr>
          <w:rFonts w:ascii="Times New Roman" w:hAnsi="Times New Roman" w:cs="Times New Roman"/>
          <w:b/>
          <w:i/>
          <w:iCs/>
          <w:sz w:val="28"/>
          <w:szCs w:val="28"/>
        </w:rPr>
        <w:t>T</w:t>
      </w:r>
      <w:r w:rsidRPr="00B9058D">
        <w:rPr>
          <w:rFonts w:ascii="Times New Roman" w:hAnsi="Times New Roman" w:cs="Times New Roman"/>
          <w:b/>
          <w:i/>
          <w:iCs/>
          <w:sz w:val="28"/>
          <w:szCs w:val="28"/>
        </w:rPr>
        <w:t>erm Offtake Contracts</w:t>
      </w:r>
    </w:p>
    <w:p w14:paraId="3DCFA44C" w14:textId="422A9689" w:rsidR="00F46ECE" w:rsidRDefault="00F46ECE" w:rsidP="00AF6F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6769C">
        <w:rPr>
          <w:rFonts w:ascii="Times New Roman" w:hAnsi="Times New Roman" w:cs="Times New Roman"/>
          <w:sz w:val="20"/>
          <w:szCs w:val="20"/>
          <w:lang w:val="en-GB"/>
        </w:rPr>
        <w:t xml:space="preserve">Frederik Skou Fertin, </w:t>
      </w:r>
      <w:r w:rsidR="0096769C" w:rsidRPr="0096769C">
        <w:rPr>
          <w:rFonts w:ascii="Times New Roman" w:hAnsi="Times New Roman" w:cs="Times New Roman"/>
          <w:sz w:val="20"/>
          <w:szCs w:val="20"/>
          <w:lang w:val="en-GB"/>
        </w:rPr>
        <w:t>DTU Management</w:t>
      </w:r>
      <w:r w:rsidR="0096769C" w:rsidRPr="0096769C">
        <w:rPr>
          <w:rFonts w:ascii="Times New Roman" w:hAnsi="Times New Roman" w:cs="Times New Roman"/>
          <w:sz w:val="20"/>
          <w:szCs w:val="20"/>
        </w:rPr>
        <w:t xml:space="preserve">, +45 61143148, </w:t>
      </w:r>
      <w:hyperlink r:id="rId4" w:history="1">
        <w:r w:rsidR="00A82972" w:rsidRPr="0046165B">
          <w:rPr>
            <w:rStyle w:val="Hyperlink"/>
            <w:rFonts w:ascii="Times New Roman" w:hAnsi="Times New Roman" w:cs="Times New Roman"/>
            <w:sz w:val="20"/>
            <w:szCs w:val="20"/>
          </w:rPr>
          <w:t>fskfe@dtu.dk</w:t>
        </w:r>
      </w:hyperlink>
    </w:p>
    <w:p w14:paraId="5658B142" w14:textId="0AF4D4A6" w:rsidR="00A82972" w:rsidRPr="0036307D" w:rsidRDefault="001C21FC" w:rsidP="00AF6F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Farzaneh Pourahmadi, DTU Wind, </w:t>
      </w:r>
      <w:hyperlink r:id="rId5" w:history="1">
        <w:r w:rsidRPr="0046165B">
          <w:rPr>
            <w:rStyle w:val="Hyperlink"/>
            <w:rFonts w:ascii="Times New Roman" w:hAnsi="Times New Roman" w:cs="Times New Roman"/>
            <w:sz w:val="20"/>
            <w:szCs w:val="20"/>
          </w:rPr>
          <w:t>farpour@dtu.dk</w:t>
        </w:r>
      </w:hyperlink>
    </w:p>
    <w:p w14:paraId="3693C948" w14:textId="2773BF0B" w:rsidR="001C21FC" w:rsidRPr="0036307D" w:rsidRDefault="005551CA" w:rsidP="00AF6F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6307D">
        <w:rPr>
          <w:rFonts w:ascii="Times New Roman" w:hAnsi="Times New Roman" w:cs="Times New Roman"/>
          <w:sz w:val="20"/>
          <w:szCs w:val="20"/>
        </w:rPr>
        <w:t xml:space="preserve">Ioannis Kountouris, Blue Power Partners, </w:t>
      </w:r>
      <w:hyperlink r:id="rId6" w:tgtFrame="_blank" w:tooltip="mailto:iko@bluepp.dk" w:history="1">
        <w:r w:rsidR="0036307D" w:rsidRPr="0036307D">
          <w:rPr>
            <w:rStyle w:val="Hyperlink"/>
            <w:rFonts w:ascii="Times New Roman" w:hAnsi="Times New Roman" w:cs="Times New Roman"/>
            <w:sz w:val="20"/>
            <w:szCs w:val="20"/>
          </w:rPr>
          <w:t>iko@bluepp.dk</w:t>
        </w:r>
      </w:hyperlink>
    </w:p>
    <w:p w14:paraId="65811B54" w14:textId="0B9EFBC9" w:rsidR="005551CA" w:rsidRPr="0036307D" w:rsidRDefault="005551CA" w:rsidP="00AF6F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6307D">
        <w:rPr>
          <w:rFonts w:ascii="Times New Roman" w:hAnsi="Times New Roman" w:cs="Times New Roman"/>
          <w:sz w:val="20"/>
          <w:szCs w:val="20"/>
        </w:rPr>
        <w:t>Dogan Keles, DTU Management</w:t>
      </w:r>
      <w:r w:rsidR="00E7146C" w:rsidRPr="0036307D">
        <w:rPr>
          <w:rFonts w:ascii="Times New Roman" w:hAnsi="Times New Roman" w:cs="Times New Roman"/>
          <w:sz w:val="20"/>
          <w:szCs w:val="20"/>
        </w:rPr>
        <w:t xml:space="preserve">, </w:t>
      </w:r>
      <w:hyperlink r:id="rId7" w:history="1">
        <w:r w:rsidR="00E7146C" w:rsidRPr="0036307D">
          <w:rPr>
            <w:rStyle w:val="Hyperlink"/>
            <w:rFonts w:ascii="Times New Roman" w:hAnsi="Times New Roman" w:cs="Times New Roman"/>
            <w:sz w:val="20"/>
            <w:szCs w:val="20"/>
          </w:rPr>
          <w:t>dogke@dtu.dk</w:t>
        </w:r>
      </w:hyperlink>
      <w:r w:rsidR="00E7146C" w:rsidRPr="0036307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A54F34" w14:textId="0F134F4E" w:rsidR="005551CA" w:rsidRPr="005551CA" w:rsidRDefault="005551CA" w:rsidP="00AF6F6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551CA">
        <w:rPr>
          <w:rFonts w:ascii="Times New Roman" w:hAnsi="Times New Roman" w:cs="Times New Roman"/>
          <w:sz w:val="20"/>
          <w:szCs w:val="20"/>
        </w:rPr>
        <w:t xml:space="preserve">DTU: </w:t>
      </w:r>
      <w:r w:rsidRPr="00F46ECE">
        <w:rPr>
          <w:rFonts w:ascii="Times New Roman" w:hAnsi="Times New Roman" w:cs="Times New Roman"/>
          <w:sz w:val="20"/>
          <w:szCs w:val="20"/>
        </w:rPr>
        <w:t>Technological University of</w:t>
      </w:r>
      <w:r w:rsidRPr="0096769C">
        <w:rPr>
          <w:rFonts w:ascii="Times New Roman" w:hAnsi="Times New Roman" w:cs="Times New Roman"/>
          <w:sz w:val="20"/>
          <w:szCs w:val="20"/>
        </w:rPr>
        <w:t xml:space="preserve"> </w:t>
      </w:r>
      <w:r w:rsidRPr="00F46ECE">
        <w:rPr>
          <w:rFonts w:ascii="Times New Roman" w:hAnsi="Times New Roman" w:cs="Times New Roman"/>
          <w:sz w:val="20"/>
          <w:szCs w:val="20"/>
        </w:rPr>
        <w:t>Denmark</w:t>
      </w:r>
    </w:p>
    <w:p w14:paraId="61DECC5A" w14:textId="77777777" w:rsidR="00F46ECE" w:rsidRPr="0036307D" w:rsidRDefault="00F46ECE" w:rsidP="0096769C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36307D">
        <w:rPr>
          <w:rFonts w:ascii="Times New Roman" w:hAnsi="Times New Roman" w:cs="Times New Roman"/>
          <w:b/>
          <w:sz w:val="20"/>
          <w:szCs w:val="20"/>
        </w:rPr>
        <w:t>Overview</w:t>
      </w:r>
    </w:p>
    <w:p w14:paraId="6781C69A" w14:textId="21927D0D" w:rsidR="00F46ECE" w:rsidRDefault="00263076" w:rsidP="0096769C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Renewable fuel production </w:t>
      </w:r>
      <w:r w:rsidR="00DD3175">
        <w:rPr>
          <w:rFonts w:ascii="Times New Roman" w:hAnsi="Times New Roman" w:cs="Times New Roman"/>
          <w:bCs/>
          <w:sz w:val="20"/>
          <w:szCs w:val="20"/>
          <w:lang w:val="en-GB"/>
        </w:rPr>
        <w:t>presents itself</w:t>
      </w:r>
      <w:r w:rsidR="007B414C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as a pathway</w:t>
      </w:r>
      <w:r w:rsidR="00DD317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7B414C">
        <w:rPr>
          <w:rFonts w:ascii="Times New Roman" w:hAnsi="Times New Roman" w:cs="Times New Roman"/>
          <w:bCs/>
          <w:sz w:val="20"/>
          <w:szCs w:val="20"/>
          <w:lang w:val="en-GB"/>
        </w:rPr>
        <w:t>to</w:t>
      </w: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decarbonize hard-to-electrify </w:t>
      </w:r>
      <w:r w:rsidR="002377FD">
        <w:rPr>
          <w:rFonts w:ascii="Times New Roman" w:hAnsi="Times New Roman" w:cs="Times New Roman"/>
          <w:bCs/>
          <w:sz w:val="20"/>
          <w:szCs w:val="20"/>
          <w:lang w:val="en-GB"/>
        </w:rPr>
        <w:t>sectors such as aviation and long-haul shipping</w:t>
      </w:r>
      <w:r w:rsidR="00DD317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. </w:t>
      </w:r>
      <w:r w:rsidR="00A1430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 </w:t>
      </w:r>
      <w:r w:rsidR="00C45E5A">
        <w:rPr>
          <w:rFonts w:ascii="Times New Roman" w:hAnsi="Times New Roman" w:cs="Times New Roman"/>
          <w:bCs/>
          <w:sz w:val="20"/>
          <w:szCs w:val="20"/>
          <w:lang w:val="en-GB"/>
        </w:rPr>
        <w:t>h</w:t>
      </w:r>
      <w:r w:rsidR="00A1430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igh </w:t>
      </w:r>
      <w:r w:rsidR="00C45E5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demand for </w:t>
      </w:r>
      <w:r w:rsidR="00A1430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electricity </w:t>
      </w:r>
      <w:r w:rsidR="00862E7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and consequent high production costs, </w:t>
      </w:r>
      <w:r w:rsidR="00E14BFA">
        <w:rPr>
          <w:rFonts w:ascii="Times New Roman" w:hAnsi="Times New Roman" w:cs="Times New Roman"/>
          <w:bCs/>
          <w:sz w:val="20"/>
          <w:szCs w:val="20"/>
          <w:lang w:val="en-GB"/>
        </w:rPr>
        <w:t>however,</w:t>
      </w:r>
      <w:r w:rsidR="00C45E5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challenges the business cases of energy projects looking to convert renewable electricity into green fuels. </w:t>
      </w:r>
      <w:r w:rsidR="00B00FDF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Along with high operational costs of fuel production, the </w:t>
      </w:r>
      <w:r w:rsidR="00DA16C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electricity consumption also introduces exposure to long- and short-term volatility and uncertainty in market prices. </w:t>
      </w:r>
      <w:r w:rsidR="00E87DF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To stabilise cash flows </w:t>
      </w:r>
      <w:r w:rsidR="00F941BD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and </w:t>
      </w:r>
      <w:r w:rsidR="00E87DF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secure </w:t>
      </w:r>
      <w:r w:rsidR="00F941BD">
        <w:rPr>
          <w:rFonts w:ascii="Times New Roman" w:hAnsi="Times New Roman" w:cs="Times New Roman"/>
          <w:bCs/>
          <w:sz w:val="20"/>
          <w:szCs w:val="20"/>
          <w:lang w:val="en-GB"/>
        </w:rPr>
        <w:t>financing</w:t>
      </w:r>
      <w:r w:rsidR="00E87DF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, the renewable fuel producer </w:t>
      </w:r>
      <w:r w:rsidR="00C12CDA">
        <w:rPr>
          <w:rFonts w:ascii="Times New Roman" w:hAnsi="Times New Roman" w:cs="Times New Roman"/>
          <w:bCs/>
          <w:sz w:val="20"/>
          <w:szCs w:val="20"/>
          <w:lang w:val="en-GB"/>
        </w:rPr>
        <w:t>negotiates long-term contracts for both power procurement and fuel offtake.</w:t>
      </w:r>
    </w:p>
    <w:p w14:paraId="6CB6660C" w14:textId="7E93646A" w:rsidR="00CD6DD0" w:rsidRDefault="006F724B" w:rsidP="0096769C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 w:rsidRPr="006F724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Securing contracted power and contracted offtake can enable investment in </w:t>
      </w:r>
      <w:r w:rsidR="00B268E2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renewable fuel production </w:t>
      </w:r>
      <w:r w:rsidRPr="006F724B">
        <w:rPr>
          <w:rFonts w:ascii="Times New Roman" w:hAnsi="Times New Roman" w:cs="Times New Roman"/>
          <w:bCs/>
          <w:sz w:val="20"/>
          <w:szCs w:val="20"/>
          <w:lang w:val="en-GB"/>
        </w:rPr>
        <w:t>by reducing risk. However, there is a need to assess the appropriate degree to which a renewable fuel producer should rely on contractual arrangements and hedging</w:t>
      </w:r>
      <w:r w:rsidR="008541E7">
        <w:rPr>
          <w:rFonts w:ascii="Times New Roman" w:hAnsi="Times New Roman" w:cs="Times New Roman"/>
          <w:bCs/>
          <w:sz w:val="20"/>
          <w:szCs w:val="20"/>
          <w:lang w:val="en-GB"/>
        </w:rPr>
        <w:t>, which decreases the operational flexibility of the renewable fuel plant</w:t>
      </w:r>
      <w:r w:rsidR="00CD6DD0">
        <w:rPr>
          <w:rFonts w:ascii="Times New Roman" w:hAnsi="Times New Roman" w:cs="Times New Roman"/>
          <w:bCs/>
          <w:sz w:val="20"/>
          <w:szCs w:val="20"/>
          <w:lang w:val="en-GB"/>
        </w:rPr>
        <w:t>.</w:t>
      </w:r>
    </w:p>
    <w:p w14:paraId="13036678" w14:textId="29B15B0C" w:rsidR="005A4AEE" w:rsidRDefault="008541E7" w:rsidP="0096769C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From a private actor perspective, it is desirable to </w:t>
      </w:r>
      <w:r w:rsidR="006F724B" w:rsidRPr="006F724B">
        <w:rPr>
          <w:rFonts w:ascii="Times New Roman" w:hAnsi="Times New Roman" w:cs="Times New Roman"/>
          <w:bCs/>
          <w:sz w:val="20"/>
          <w:szCs w:val="20"/>
          <w:lang w:val="en-GB"/>
        </w:rPr>
        <w:t>maintai</w:t>
      </w:r>
      <w:r>
        <w:rPr>
          <w:rFonts w:ascii="Times New Roman" w:hAnsi="Times New Roman" w:cs="Times New Roman"/>
          <w:bCs/>
          <w:sz w:val="20"/>
          <w:szCs w:val="20"/>
          <w:lang w:val="en-GB"/>
        </w:rPr>
        <w:t>n</w:t>
      </w:r>
      <w:r w:rsidR="006F724B" w:rsidRPr="006F724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operational flexibility to </w:t>
      </w: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allow </w:t>
      </w:r>
      <w:r w:rsidR="006F724B" w:rsidRPr="006F724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capture </w:t>
      </w: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of </w:t>
      </w:r>
      <w:r w:rsidR="006F724B" w:rsidRPr="006F724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future revenue opportunities. </w:t>
      </w:r>
      <w:r w:rsidR="005A4AEE">
        <w:rPr>
          <w:rFonts w:ascii="Times New Roman" w:hAnsi="Times New Roman" w:cs="Times New Roman"/>
          <w:bCs/>
          <w:sz w:val="20"/>
          <w:szCs w:val="20"/>
          <w:lang w:val="en-GB"/>
        </w:rPr>
        <w:t>From an energy system</w:t>
      </w:r>
      <w:r w:rsidR="00D76B02">
        <w:rPr>
          <w:rFonts w:ascii="Times New Roman" w:hAnsi="Times New Roman" w:cs="Times New Roman"/>
          <w:bCs/>
          <w:sz w:val="20"/>
          <w:szCs w:val="20"/>
          <w:lang w:val="en-GB"/>
        </w:rPr>
        <w:t>s</w:t>
      </w:r>
      <w:r w:rsidR="005A4AE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perspective, it is crucial that </w:t>
      </w:r>
      <w:r w:rsidR="00A44D44">
        <w:rPr>
          <w:rFonts w:ascii="Times New Roman" w:hAnsi="Times New Roman" w:cs="Times New Roman"/>
          <w:bCs/>
          <w:sz w:val="20"/>
          <w:szCs w:val="20"/>
          <w:lang w:val="en-GB"/>
        </w:rPr>
        <w:t>power-to-X</w:t>
      </w:r>
      <w:r w:rsidR="0071594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(PtX)</w:t>
      </w:r>
      <w:r w:rsidR="00A44D4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technologies </w:t>
      </w:r>
      <w:r w:rsidR="00D77269">
        <w:rPr>
          <w:rFonts w:ascii="Times New Roman" w:hAnsi="Times New Roman" w:cs="Times New Roman"/>
          <w:bCs/>
          <w:sz w:val="20"/>
          <w:szCs w:val="20"/>
          <w:lang w:val="en-GB"/>
        </w:rPr>
        <w:t>can operate</w:t>
      </w:r>
      <w:r w:rsidR="00A44D4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flexibly and follow</w:t>
      </w:r>
      <w:r w:rsidR="00D77269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A44D4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production profile of variable renewable electricity as to not strain the </w:t>
      </w:r>
      <w:r w:rsidR="00D77269">
        <w:rPr>
          <w:rFonts w:ascii="Times New Roman" w:hAnsi="Times New Roman" w:cs="Times New Roman"/>
          <w:bCs/>
          <w:sz w:val="20"/>
          <w:szCs w:val="20"/>
          <w:lang w:val="en-GB"/>
        </w:rPr>
        <w:t>system and produce non-sustainable fuels.</w:t>
      </w:r>
    </w:p>
    <w:p w14:paraId="22FB4727" w14:textId="37FFFEF3" w:rsidR="00DF4F92" w:rsidRPr="00DF4F92" w:rsidRDefault="003D09E2" w:rsidP="0096769C">
      <w:pPr>
        <w:spacing w:line="240" w:lineRule="auto"/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This poses the overarching research </w:t>
      </w:r>
      <w:r w:rsidR="00DF4F92">
        <w:rPr>
          <w:rFonts w:ascii="Times New Roman" w:hAnsi="Times New Roman" w:cs="Times New Roman"/>
          <w:bCs/>
          <w:sz w:val="20"/>
          <w:szCs w:val="20"/>
          <w:lang w:val="en-GB"/>
        </w:rPr>
        <w:t>question</w:t>
      </w:r>
      <w:r w:rsidR="00745F37">
        <w:rPr>
          <w:rFonts w:ascii="Times New Roman" w:hAnsi="Times New Roman" w:cs="Times New Roman"/>
          <w:bCs/>
          <w:sz w:val="20"/>
          <w:szCs w:val="20"/>
          <w:lang w:val="en-GB"/>
        </w:rPr>
        <w:t>s</w:t>
      </w:r>
      <w:r w:rsidR="00DF4F92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of this study: </w:t>
      </w:r>
      <w:r w:rsidRPr="00DF4F92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How can long-term contractual offtake commitments be optimally integrated into the daily operational planning of a renewable fuel plant?</w:t>
      </w:r>
      <w:r w:rsidR="008373F7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 xml:space="preserve"> How can </w:t>
      </w:r>
      <w:r w:rsidR="00745F37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contracts be designed to enable flexible operation of renewable fuel production?</w:t>
      </w:r>
    </w:p>
    <w:p w14:paraId="78ACDD0E" w14:textId="78800A6F" w:rsidR="00F46ECE" w:rsidRPr="00F46ECE" w:rsidRDefault="00F46ECE" w:rsidP="0096769C">
      <w:pPr>
        <w:spacing w:line="240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F46ECE">
        <w:rPr>
          <w:rFonts w:ascii="Times New Roman" w:hAnsi="Times New Roman" w:cs="Times New Roman"/>
          <w:b/>
          <w:sz w:val="20"/>
          <w:szCs w:val="20"/>
          <w:lang w:val="en-GB"/>
        </w:rPr>
        <w:t>Methods</w:t>
      </w:r>
    </w:p>
    <w:p w14:paraId="48BB4A53" w14:textId="4875AF04" w:rsidR="00C96570" w:rsidRPr="009116CC" w:rsidRDefault="00C96570" w:rsidP="00616381">
      <w:pPr>
        <w:spacing w:line="240" w:lineRule="auto"/>
        <w:rPr>
          <w:rFonts w:ascii="Times New Roman" w:hAnsi="Times New Roman" w:cs="Times New Roman"/>
          <w:i/>
          <w:sz w:val="20"/>
          <w:szCs w:val="20"/>
          <w:lang w:val="en-GB"/>
        </w:rPr>
      </w:pPr>
      <w:r w:rsidRPr="00C96570">
        <w:rPr>
          <w:rFonts w:ascii="Times New Roman" w:hAnsi="Times New Roman" w:cs="Times New Roman"/>
          <w:sz w:val="20"/>
          <w:szCs w:val="20"/>
          <w:lang w:val="en-GB"/>
        </w:rPr>
        <w:t>The research question</w:t>
      </w:r>
      <w:r w:rsidR="00745F37">
        <w:rPr>
          <w:rFonts w:ascii="Times New Roman" w:hAnsi="Times New Roman" w:cs="Times New Roman"/>
          <w:sz w:val="20"/>
          <w:szCs w:val="20"/>
          <w:lang w:val="en-GB"/>
        </w:rPr>
        <w:t>s</w:t>
      </w:r>
      <w:r w:rsidRPr="00C96570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745F37">
        <w:rPr>
          <w:rFonts w:ascii="Times New Roman" w:hAnsi="Times New Roman" w:cs="Times New Roman"/>
          <w:sz w:val="20"/>
          <w:szCs w:val="20"/>
          <w:lang w:val="en-GB"/>
        </w:rPr>
        <w:t>are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C96570">
        <w:rPr>
          <w:rFonts w:ascii="Times New Roman" w:hAnsi="Times New Roman" w:cs="Times New Roman"/>
          <w:sz w:val="20"/>
          <w:szCs w:val="20"/>
          <w:lang w:val="en-GB"/>
        </w:rPr>
        <w:t xml:space="preserve">addressed through a structured methodological framework. </w:t>
      </w:r>
      <w:r w:rsidR="009116CC">
        <w:rPr>
          <w:rFonts w:ascii="Times New Roman" w:hAnsi="Times New Roman" w:cs="Times New Roman"/>
          <w:sz w:val="20"/>
          <w:szCs w:val="20"/>
          <w:lang w:val="en-GB"/>
        </w:rPr>
        <w:t>The study develops and deploys a rolling horizon decision-making framework motivated by day-to-day trading decisions in the day-ahead electricity market. A</w:t>
      </w:r>
      <w:r w:rsidRPr="00C96570">
        <w:rPr>
          <w:rFonts w:ascii="Times New Roman" w:hAnsi="Times New Roman" w:cs="Times New Roman"/>
          <w:sz w:val="20"/>
          <w:szCs w:val="20"/>
          <w:lang w:val="en-GB"/>
        </w:rPr>
        <w:t xml:space="preserve"> stochastic time series model is developed to forecast </w:t>
      </w:r>
      <w:r w:rsidR="00BE4BD1">
        <w:rPr>
          <w:rFonts w:ascii="Times New Roman" w:hAnsi="Times New Roman" w:cs="Times New Roman"/>
          <w:sz w:val="20"/>
          <w:szCs w:val="20"/>
          <w:lang w:val="en-GB"/>
        </w:rPr>
        <w:t>short-</w:t>
      </w:r>
      <w:r w:rsidR="009116CC">
        <w:rPr>
          <w:rFonts w:ascii="Times New Roman" w:hAnsi="Times New Roman" w:cs="Times New Roman"/>
          <w:sz w:val="20"/>
          <w:szCs w:val="20"/>
          <w:lang w:val="en-GB"/>
        </w:rPr>
        <w:t>term uncertainty</w:t>
      </w:r>
      <w:r w:rsidR="00BE4BD1"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r w:rsidRPr="00C96570">
        <w:rPr>
          <w:rFonts w:ascii="Times New Roman" w:hAnsi="Times New Roman" w:cs="Times New Roman"/>
          <w:sz w:val="20"/>
          <w:szCs w:val="20"/>
          <w:lang w:val="en-GB"/>
        </w:rPr>
        <w:t xml:space="preserve">long-term variability in renewable generation and electricity market prices. Second, a valuation methodology is formulated to estimate the internal strike price </w:t>
      </w:r>
      <w:r w:rsidR="00E54CD2">
        <w:rPr>
          <w:rFonts w:ascii="Times New Roman" w:hAnsi="Times New Roman" w:cs="Times New Roman"/>
          <w:sz w:val="20"/>
          <w:szCs w:val="20"/>
          <w:lang w:val="en-GB"/>
        </w:rPr>
        <w:t xml:space="preserve">(ISP) </w:t>
      </w:r>
      <w:r w:rsidRPr="00C96570">
        <w:rPr>
          <w:rFonts w:ascii="Times New Roman" w:hAnsi="Times New Roman" w:cs="Times New Roman"/>
          <w:sz w:val="20"/>
          <w:szCs w:val="20"/>
          <w:lang w:val="en-GB"/>
        </w:rPr>
        <w:t xml:space="preserve">of renewable fuel production, providing a measure of the opportunity cost of fuel production relative to electricity </w:t>
      </w:r>
      <w:r w:rsidR="00A80546">
        <w:rPr>
          <w:rFonts w:ascii="Times New Roman" w:hAnsi="Times New Roman" w:cs="Times New Roman"/>
          <w:sz w:val="20"/>
          <w:szCs w:val="20"/>
          <w:lang w:val="en-GB"/>
        </w:rPr>
        <w:t>sales</w:t>
      </w:r>
      <w:r w:rsidRPr="00C96570">
        <w:rPr>
          <w:rFonts w:ascii="Times New Roman" w:hAnsi="Times New Roman" w:cs="Times New Roman"/>
          <w:sz w:val="20"/>
          <w:szCs w:val="20"/>
          <w:lang w:val="en-GB"/>
        </w:rPr>
        <w:t xml:space="preserve">. Third, three </w:t>
      </w:r>
      <w:r w:rsidR="00A80546">
        <w:rPr>
          <w:rFonts w:ascii="Times New Roman" w:hAnsi="Times New Roman" w:cs="Times New Roman"/>
          <w:sz w:val="20"/>
          <w:szCs w:val="20"/>
          <w:lang w:val="en-GB"/>
        </w:rPr>
        <w:t xml:space="preserve">alternative planning strategies </w:t>
      </w:r>
      <w:r w:rsidR="007A01D4">
        <w:rPr>
          <w:rFonts w:ascii="Times New Roman" w:hAnsi="Times New Roman" w:cs="Times New Roman"/>
          <w:sz w:val="20"/>
          <w:szCs w:val="20"/>
          <w:lang w:val="en-GB"/>
        </w:rPr>
        <w:t xml:space="preserve">to meet long-term contractual obligations </w:t>
      </w:r>
      <w:r w:rsidR="00A80546">
        <w:rPr>
          <w:rFonts w:ascii="Times New Roman" w:hAnsi="Times New Roman" w:cs="Times New Roman"/>
          <w:sz w:val="20"/>
          <w:szCs w:val="20"/>
          <w:lang w:val="en-GB"/>
        </w:rPr>
        <w:t>are formulated</w:t>
      </w:r>
      <w:r w:rsidR="00EC2185">
        <w:rPr>
          <w:rFonts w:ascii="Times New Roman" w:hAnsi="Times New Roman" w:cs="Times New Roman"/>
          <w:sz w:val="20"/>
          <w:szCs w:val="20"/>
          <w:lang w:val="en-GB"/>
        </w:rPr>
        <w:t xml:space="preserve"> and</w:t>
      </w:r>
      <w:r w:rsidR="00CE1D93">
        <w:rPr>
          <w:rFonts w:ascii="Times New Roman" w:hAnsi="Times New Roman" w:cs="Times New Roman"/>
          <w:sz w:val="20"/>
          <w:szCs w:val="20"/>
          <w:lang w:val="en-GB"/>
        </w:rPr>
        <w:t xml:space="preserve"> validated </w:t>
      </w:r>
      <w:r w:rsidR="00EC2185">
        <w:rPr>
          <w:rFonts w:ascii="Times New Roman" w:hAnsi="Times New Roman" w:cs="Times New Roman"/>
          <w:sz w:val="20"/>
          <w:szCs w:val="20"/>
          <w:lang w:val="en-GB"/>
        </w:rPr>
        <w:t xml:space="preserve">to </w:t>
      </w:r>
      <w:r w:rsidR="00DD7482">
        <w:rPr>
          <w:rFonts w:ascii="Times New Roman" w:hAnsi="Times New Roman" w:cs="Times New Roman"/>
          <w:sz w:val="20"/>
          <w:szCs w:val="20"/>
          <w:lang w:val="en-GB"/>
        </w:rPr>
        <w:t>benchmark the developed methodology</w:t>
      </w:r>
      <w:r w:rsidR="00CE1D93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="00B54B07">
        <w:rPr>
          <w:rFonts w:ascii="Times New Roman" w:hAnsi="Times New Roman" w:cs="Times New Roman"/>
          <w:sz w:val="20"/>
          <w:szCs w:val="20"/>
          <w:lang w:val="en-GB"/>
        </w:rPr>
        <w:t>The</w:t>
      </w:r>
      <w:r w:rsidR="00616381" w:rsidRPr="00616381">
        <w:rPr>
          <w:rFonts w:ascii="Times New Roman" w:hAnsi="Times New Roman" w:cs="Times New Roman"/>
          <w:sz w:val="20"/>
          <w:szCs w:val="20"/>
          <w:lang w:val="en-GB"/>
        </w:rPr>
        <w:t xml:space="preserve"> methodology is applied to a case study, supported by scenario</w:t>
      </w:r>
      <w:r w:rsidR="00616381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616381" w:rsidRPr="00616381">
        <w:rPr>
          <w:rFonts w:ascii="Times New Roman" w:hAnsi="Times New Roman" w:cs="Times New Roman"/>
          <w:sz w:val="20"/>
          <w:szCs w:val="20"/>
          <w:lang w:val="en-GB"/>
        </w:rPr>
        <w:t>analysis of alternative offtake contract structures</w:t>
      </w:r>
      <w:r w:rsidR="00B54B07">
        <w:rPr>
          <w:rFonts w:ascii="Times New Roman" w:hAnsi="Times New Roman" w:cs="Times New Roman"/>
          <w:sz w:val="20"/>
          <w:szCs w:val="20"/>
          <w:lang w:val="en-GB"/>
        </w:rPr>
        <w:t xml:space="preserve">, assessing </w:t>
      </w:r>
      <w:r w:rsidR="00616381" w:rsidRPr="00616381">
        <w:rPr>
          <w:rFonts w:ascii="Times New Roman" w:hAnsi="Times New Roman" w:cs="Times New Roman"/>
          <w:sz w:val="20"/>
          <w:szCs w:val="20"/>
          <w:lang w:val="en-GB"/>
        </w:rPr>
        <w:t xml:space="preserve">the impact of contractual and operational design choices on </w:t>
      </w:r>
      <w:r w:rsidR="00B54B07">
        <w:rPr>
          <w:rFonts w:ascii="Times New Roman" w:hAnsi="Times New Roman" w:cs="Times New Roman"/>
          <w:sz w:val="20"/>
          <w:szCs w:val="20"/>
          <w:lang w:val="en-GB"/>
        </w:rPr>
        <w:t>renewable fuel production profitability</w:t>
      </w:r>
      <w:r w:rsidR="00616381" w:rsidRPr="00616381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22328671" w14:textId="77777777" w:rsidR="006355D9" w:rsidRDefault="00733725" w:rsidP="00AC0D8B">
      <w:pPr>
        <w:keepNext/>
        <w:spacing w:line="240" w:lineRule="auto"/>
        <w:jc w:val="center"/>
      </w:pPr>
      <w:r w:rsidRPr="00733725">
        <w:rPr>
          <w:rFonts w:ascii="Times New Roman" w:hAnsi="Times New Roman" w:cs="Times New Roman"/>
          <w:b/>
          <w:noProof/>
          <w:sz w:val="20"/>
          <w:szCs w:val="20"/>
          <w:lang w:val="en-GB"/>
        </w:rPr>
        <w:drawing>
          <wp:inline distT="0" distB="0" distL="0" distR="0" wp14:anchorId="734145B3" wp14:editId="14458E13">
            <wp:extent cx="5709912" cy="1917700"/>
            <wp:effectExtent l="0" t="0" r="5715" b="6350"/>
            <wp:docPr id="38981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1118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32" cy="192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C8CA" w14:textId="6E9EA9D7" w:rsidR="006355D9" w:rsidRPr="009116CC" w:rsidRDefault="006355D9" w:rsidP="009116CC">
      <w:pPr>
        <w:pStyle w:val="Caption"/>
        <w:rPr>
          <w:rFonts w:ascii="Times New Roman" w:hAnsi="Times New Roman" w:cs="Times New Roman"/>
          <w:b/>
          <w:sz w:val="22"/>
          <w:szCs w:val="22"/>
          <w:lang w:val="en-GB"/>
        </w:rPr>
      </w:pPr>
      <w:r w:rsidRPr="006355D9">
        <w:rPr>
          <w:rFonts w:ascii="Times New Roman" w:hAnsi="Times New Roman" w:cs="Times New Roman"/>
          <w:sz w:val="20"/>
          <w:szCs w:val="20"/>
        </w:rPr>
        <w:t xml:space="preserve">Figure </w:t>
      </w:r>
      <w:r w:rsidRPr="006355D9">
        <w:rPr>
          <w:rFonts w:ascii="Times New Roman" w:hAnsi="Times New Roman" w:cs="Times New Roman"/>
          <w:sz w:val="20"/>
          <w:szCs w:val="20"/>
        </w:rPr>
        <w:fldChar w:fldCharType="begin"/>
      </w:r>
      <w:r w:rsidRPr="006355D9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6355D9">
        <w:rPr>
          <w:rFonts w:ascii="Times New Roman" w:hAnsi="Times New Roman" w:cs="Times New Roman"/>
          <w:sz w:val="20"/>
          <w:szCs w:val="20"/>
        </w:rPr>
        <w:fldChar w:fldCharType="separate"/>
      </w:r>
      <w:r w:rsidR="0065628E">
        <w:rPr>
          <w:rFonts w:ascii="Times New Roman" w:hAnsi="Times New Roman" w:cs="Times New Roman"/>
          <w:noProof/>
          <w:sz w:val="20"/>
          <w:szCs w:val="20"/>
        </w:rPr>
        <w:t>1</w:t>
      </w:r>
      <w:r w:rsidRPr="006355D9">
        <w:rPr>
          <w:rFonts w:ascii="Times New Roman" w:hAnsi="Times New Roman" w:cs="Times New Roman"/>
          <w:sz w:val="20"/>
          <w:szCs w:val="20"/>
        </w:rPr>
        <w:fldChar w:fldCharType="end"/>
      </w:r>
      <w:r w:rsidRPr="006355D9">
        <w:rPr>
          <w:rFonts w:ascii="Times New Roman" w:hAnsi="Times New Roman" w:cs="Times New Roman"/>
          <w:sz w:val="20"/>
          <w:szCs w:val="20"/>
        </w:rPr>
        <w:t>: Methodological framework. Given a renewable fuel plant and contract structures</w:t>
      </w:r>
      <w:r w:rsidRPr="006355D9">
        <w:rPr>
          <w:rFonts w:ascii="Times New Roman" w:hAnsi="Times New Roman" w:cs="Times New Roman"/>
          <w:noProof/>
          <w:sz w:val="20"/>
          <w:szCs w:val="20"/>
        </w:rPr>
        <w:t>, the methodology enables identification of optimal operational scheduling of fuel production, estimates cash flows and the risk profile of the contractual setup.</w:t>
      </w:r>
    </w:p>
    <w:p w14:paraId="6464A469" w14:textId="0BFE1212" w:rsidR="0029717D" w:rsidRDefault="00AD292E" w:rsidP="00AD292E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 w:rsidRPr="00AD292E">
        <w:rPr>
          <w:rFonts w:ascii="Times New Roman" w:hAnsi="Times New Roman" w:cs="Times New Roman"/>
          <w:bCs/>
          <w:sz w:val="20"/>
          <w:szCs w:val="20"/>
          <w:lang w:val="en-GB"/>
        </w:rPr>
        <w:lastRenderedPageBreak/>
        <w:t xml:space="preserve">This </w:t>
      </w:r>
      <w:r>
        <w:rPr>
          <w:rFonts w:ascii="Times New Roman" w:hAnsi="Times New Roman" w:cs="Times New Roman"/>
          <w:bCs/>
          <w:sz w:val="20"/>
          <w:szCs w:val="20"/>
          <w:lang w:val="en-GB"/>
        </w:rPr>
        <w:t>study</w:t>
      </w:r>
      <w:r w:rsidRPr="00AD292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builds on the existing literature by addressing limited </w:t>
      </w:r>
      <w:r w:rsidR="004A2553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tools to navigate offtake </w:t>
      </w:r>
      <w:r w:rsidRPr="00AD292E">
        <w:rPr>
          <w:rFonts w:ascii="Times New Roman" w:hAnsi="Times New Roman" w:cs="Times New Roman"/>
          <w:bCs/>
          <w:sz w:val="20"/>
          <w:szCs w:val="20"/>
          <w:lang w:val="en-GB"/>
        </w:rPr>
        <w:t>contract</w:t>
      </w:r>
      <w:r w:rsidR="004A2553">
        <w:rPr>
          <w:rFonts w:ascii="Times New Roman" w:hAnsi="Times New Roman" w:cs="Times New Roman"/>
          <w:bCs/>
          <w:sz w:val="20"/>
          <w:szCs w:val="20"/>
          <w:lang w:val="en-GB"/>
        </w:rPr>
        <w:t>s</w:t>
      </w: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4A2553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in </w:t>
      </w:r>
      <w:r w:rsidRPr="00AD292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operational planning of renewable fuel </w:t>
      </w:r>
      <w:r w:rsidR="004A2553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production. </w:t>
      </w:r>
      <w:r w:rsidR="0029717D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</w:t>
      </w:r>
      <w:r w:rsidR="0020727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methodological </w:t>
      </w:r>
      <w:r w:rsidR="0029717D">
        <w:rPr>
          <w:rFonts w:ascii="Times New Roman" w:hAnsi="Times New Roman" w:cs="Times New Roman"/>
          <w:bCs/>
          <w:sz w:val="20"/>
          <w:szCs w:val="20"/>
          <w:lang w:val="en-GB"/>
        </w:rPr>
        <w:t>contribution of the study</w:t>
      </w:r>
      <w:r w:rsidR="00062E8F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F20C2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is based </w:t>
      </w:r>
      <w:r w:rsidR="00707CB9">
        <w:rPr>
          <w:rFonts w:ascii="Times New Roman" w:hAnsi="Times New Roman" w:cs="Times New Roman"/>
          <w:bCs/>
          <w:sz w:val="20"/>
          <w:szCs w:val="20"/>
          <w:lang w:val="en-GB"/>
        </w:rPr>
        <w:t>o</w:t>
      </w:r>
      <w:r w:rsidR="00F20C2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n the development of a </w:t>
      </w:r>
      <w:r w:rsidR="004B317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heuristic utilizing a </w:t>
      </w:r>
      <w:r w:rsidR="00F20C26">
        <w:rPr>
          <w:rFonts w:ascii="Times New Roman" w:hAnsi="Times New Roman" w:cs="Times New Roman"/>
          <w:bCs/>
          <w:sz w:val="20"/>
          <w:szCs w:val="20"/>
          <w:lang w:val="en-GB"/>
        </w:rPr>
        <w:t>production-weighted price duration curve</w:t>
      </w:r>
      <w:r w:rsidR="00DB0A6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to </w:t>
      </w:r>
      <w:r w:rsidR="00C441C9">
        <w:rPr>
          <w:rFonts w:ascii="Times New Roman" w:hAnsi="Times New Roman" w:cs="Times New Roman"/>
          <w:bCs/>
          <w:sz w:val="20"/>
          <w:szCs w:val="20"/>
          <w:lang w:val="en-GB"/>
        </w:rPr>
        <w:t>accurate</w:t>
      </w:r>
      <w:r w:rsidR="00DB0A61">
        <w:rPr>
          <w:rFonts w:ascii="Times New Roman" w:hAnsi="Times New Roman" w:cs="Times New Roman"/>
          <w:bCs/>
          <w:sz w:val="20"/>
          <w:szCs w:val="20"/>
          <w:lang w:val="en-GB"/>
        </w:rPr>
        <w:t>ly</w:t>
      </w:r>
      <w:r w:rsidR="00C441C9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identif</w:t>
      </w:r>
      <w:r w:rsidR="00DB0A6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y </w:t>
      </w:r>
      <w:r w:rsidR="00765290">
        <w:rPr>
          <w:rFonts w:ascii="Times New Roman" w:hAnsi="Times New Roman" w:cs="Times New Roman"/>
          <w:bCs/>
          <w:sz w:val="20"/>
          <w:szCs w:val="20"/>
          <w:lang w:val="en-GB"/>
        </w:rPr>
        <w:t>the opportunity cost of selling electricity for a renewable fuel producer.</w:t>
      </w:r>
      <w:r w:rsidR="000C2AFD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This opportunity cost is defined as the internal strike price (ISP), which the fuel producer trades electricity based on.</w:t>
      </w:r>
      <w:r w:rsidR="008B474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4B317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proposed </w:t>
      </w:r>
      <w:r w:rsidR="00DB0A61">
        <w:rPr>
          <w:rFonts w:ascii="Times New Roman" w:hAnsi="Times New Roman" w:cs="Times New Roman"/>
          <w:bCs/>
          <w:sz w:val="20"/>
          <w:szCs w:val="20"/>
          <w:lang w:val="en-GB"/>
        </w:rPr>
        <w:t>heuristic</w:t>
      </w:r>
      <w:r w:rsidR="009C217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(</w:t>
      </w:r>
      <w:r w:rsidR="009C2174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ISP</w:t>
      </w:r>
      <w:r w:rsidR="009C2174">
        <w:rPr>
          <w:rFonts w:ascii="Times New Roman" w:hAnsi="Times New Roman" w:cs="Times New Roman"/>
          <w:bCs/>
          <w:sz w:val="20"/>
          <w:szCs w:val="20"/>
          <w:lang w:val="en-GB"/>
        </w:rPr>
        <w:t>)</w:t>
      </w:r>
      <w:r w:rsidR="00DB0A6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is </w:t>
      </w:r>
      <w:r w:rsidR="00BF2C4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compared to three approaches </w:t>
      </w:r>
      <w:r w:rsidR="00860AB4">
        <w:rPr>
          <w:rFonts w:ascii="Times New Roman" w:hAnsi="Times New Roman" w:cs="Times New Roman"/>
          <w:bCs/>
          <w:sz w:val="20"/>
          <w:szCs w:val="20"/>
          <w:lang w:val="en-GB"/>
        </w:rPr>
        <w:t>known from</w:t>
      </w:r>
      <w:r w:rsidR="00BF2C4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the literature</w:t>
      </w:r>
      <w:r w:rsidR="00860AB4">
        <w:rPr>
          <w:rFonts w:ascii="Times New Roman" w:hAnsi="Times New Roman" w:cs="Times New Roman"/>
          <w:bCs/>
          <w:sz w:val="20"/>
          <w:szCs w:val="20"/>
          <w:lang w:val="en-GB"/>
        </w:rPr>
        <w:t>: a fixed hourly production schedule</w:t>
      </w:r>
      <w:r w:rsidR="009C217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(</w:t>
      </w:r>
      <w:r w:rsidR="009C2174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Fixed</w:t>
      </w:r>
      <w:r w:rsidR="009C2174" w:rsidRPr="009C2174">
        <w:rPr>
          <w:rFonts w:ascii="Times New Roman" w:hAnsi="Times New Roman" w:cs="Times New Roman"/>
          <w:bCs/>
          <w:sz w:val="20"/>
          <w:szCs w:val="20"/>
          <w:lang w:val="en-GB"/>
        </w:rPr>
        <w:t>)</w:t>
      </w:r>
      <w:r w:rsidR="00763CA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, a rolling horizon model with the long-term </w:t>
      </w:r>
      <w:r w:rsidR="009E784E">
        <w:rPr>
          <w:rFonts w:ascii="Times New Roman" w:hAnsi="Times New Roman" w:cs="Times New Roman"/>
          <w:bCs/>
          <w:sz w:val="20"/>
          <w:szCs w:val="20"/>
          <w:lang w:val="en-GB"/>
        </w:rPr>
        <w:t>fuel production included through an aggregate time step</w:t>
      </w:r>
      <w:r w:rsidR="009C217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(</w:t>
      </w:r>
      <w:r w:rsidR="009C2174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Aggregative</w:t>
      </w:r>
      <w:r w:rsidR="009C2174" w:rsidRPr="009C2174">
        <w:rPr>
          <w:rFonts w:ascii="Times New Roman" w:hAnsi="Times New Roman" w:cs="Times New Roman"/>
          <w:bCs/>
          <w:sz w:val="20"/>
          <w:szCs w:val="20"/>
          <w:lang w:val="en-GB"/>
        </w:rPr>
        <w:t>)</w:t>
      </w:r>
      <w:r w:rsidR="009E784E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, </w:t>
      </w:r>
      <w:r w:rsidR="00B236F1">
        <w:rPr>
          <w:rFonts w:ascii="Times New Roman" w:hAnsi="Times New Roman" w:cs="Times New Roman"/>
          <w:bCs/>
          <w:sz w:val="20"/>
          <w:szCs w:val="20"/>
          <w:lang w:val="en-GB"/>
        </w:rPr>
        <w:t>a receding horizon model with all hours of the year included explicitly in the linear model formulation</w:t>
      </w:r>
      <w:r w:rsidR="009C217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(</w:t>
      </w:r>
      <w:r w:rsidR="009C2174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Receding</w:t>
      </w:r>
      <w:r w:rsidR="009C2174" w:rsidRPr="009C2174">
        <w:rPr>
          <w:rFonts w:ascii="Times New Roman" w:hAnsi="Times New Roman" w:cs="Times New Roman"/>
          <w:bCs/>
          <w:sz w:val="20"/>
          <w:szCs w:val="20"/>
          <w:lang w:val="en-GB"/>
        </w:rPr>
        <w:t>)</w:t>
      </w:r>
      <w:r w:rsidR="009C217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. Finally, the hindsight optimal dispatch is also evaluated </w:t>
      </w:r>
      <w:r w:rsidR="000C2AFD">
        <w:rPr>
          <w:rFonts w:ascii="Times New Roman" w:hAnsi="Times New Roman" w:cs="Times New Roman"/>
          <w:bCs/>
          <w:sz w:val="20"/>
          <w:szCs w:val="20"/>
          <w:lang w:val="en-GB"/>
        </w:rPr>
        <w:t>to</w:t>
      </w:r>
      <w:r w:rsidR="009C2174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set an upper benchmark for the operational planning.</w:t>
      </w:r>
    </w:p>
    <w:p w14:paraId="0801C1D9" w14:textId="097EE6B0" w:rsidR="00F46ECE" w:rsidRDefault="00F46ECE" w:rsidP="0096769C">
      <w:pPr>
        <w:spacing w:line="240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F46ECE">
        <w:rPr>
          <w:rFonts w:ascii="Times New Roman" w:hAnsi="Times New Roman" w:cs="Times New Roman"/>
          <w:b/>
          <w:sz w:val="20"/>
          <w:szCs w:val="20"/>
          <w:lang w:val="en-GB"/>
        </w:rPr>
        <w:t>Results</w:t>
      </w:r>
    </w:p>
    <w:p w14:paraId="32391D21" w14:textId="059B97BF" w:rsidR="00FB3AF4" w:rsidRDefault="005B1EDB" w:rsidP="0096769C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 case study of a large-scale Portuguese hydrogen and ammonia production plant (250 MW electrolyzer) is used to validate the operational planning tool. </w:t>
      </w:r>
      <w:r w:rsidR="00AE25D0">
        <w:rPr>
          <w:rFonts w:ascii="Times New Roman" w:hAnsi="Times New Roman" w:cs="Times New Roman"/>
          <w:bCs/>
          <w:sz w:val="20"/>
          <w:szCs w:val="20"/>
          <w:lang w:val="en-GB"/>
        </w:rPr>
        <w:t>50% of the ammonia production capacity is contracted with an annual commitment.</w:t>
      </w:r>
      <w:r w:rsidR="001C175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7619A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</w:t>
      </w:r>
      <w:r w:rsidR="007619A0" w:rsidRPr="00815C0C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Fixed</w:t>
      </w:r>
      <w:r w:rsidR="007619A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815C0C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long-term planning strategy handles this contractual setup by </w:t>
      </w:r>
      <w:r w:rsidR="00C4480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running the ammonia synthesis unit at a 50% load continuously, whereas the other </w:t>
      </w:r>
      <w:r w:rsidR="00FA4AB4">
        <w:rPr>
          <w:rFonts w:ascii="Times New Roman" w:hAnsi="Times New Roman" w:cs="Times New Roman"/>
          <w:bCs/>
          <w:sz w:val="20"/>
          <w:szCs w:val="20"/>
          <w:lang w:val="en-GB"/>
        </w:rPr>
        <w:t>planning strategies navigate the long-term contract flexibly by planning production during low electricity price hours.</w:t>
      </w:r>
      <w:r w:rsidR="00C4480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5358A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study finds that </w:t>
      </w:r>
      <w:r w:rsidR="001779A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compliance </w:t>
      </w:r>
      <w:r w:rsidR="00D02E76">
        <w:rPr>
          <w:rFonts w:ascii="Times New Roman" w:hAnsi="Times New Roman" w:cs="Times New Roman"/>
          <w:bCs/>
          <w:sz w:val="20"/>
          <w:szCs w:val="20"/>
          <w:lang w:val="en-GB"/>
        </w:rPr>
        <w:t>of long-term contract</w:t>
      </w:r>
      <w:r w:rsidR="001779A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obligations</w:t>
      </w:r>
      <w:r w:rsidR="00D02E7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202BA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is </w:t>
      </w:r>
      <w:r w:rsidR="001779A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achieved </w:t>
      </w:r>
      <w:r w:rsidR="00202BA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through </w:t>
      </w:r>
      <w:r w:rsidR="003F1BDF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all four </w:t>
      </w:r>
      <w:r w:rsidR="001779A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production planning </w:t>
      </w:r>
      <w:r w:rsidR="00ED6D60">
        <w:rPr>
          <w:rFonts w:ascii="Times New Roman" w:hAnsi="Times New Roman" w:cs="Times New Roman"/>
          <w:bCs/>
          <w:sz w:val="20"/>
          <w:szCs w:val="20"/>
          <w:lang w:val="en-GB"/>
        </w:rPr>
        <w:t>strategies</w:t>
      </w:r>
      <w:r w:rsidR="006F1AF2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with the </w:t>
      </w:r>
      <w:r w:rsidR="00331CF6">
        <w:rPr>
          <w:rFonts w:ascii="Times New Roman" w:hAnsi="Times New Roman" w:cs="Times New Roman"/>
          <w:bCs/>
          <w:sz w:val="20"/>
          <w:szCs w:val="20"/>
          <w:lang w:val="en-GB"/>
        </w:rPr>
        <w:t>receding horizon model obtaining the highest earnings</w:t>
      </w:r>
      <w:r w:rsidR="0047720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of 78.3% of optimal earnings</w:t>
      </w:r>
      <w:r w:rsidR="00331CF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. However, the difference between the </w:t>
      </w:r>
      <w:r w:rsidR="00331CF6" w:rsidRPr="00F5658C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ISP</w:t>
      </w:r>
      <w:r w:rsidR="00331CF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guided </w:t>
      </w:r>
      <w:r w:rsidR="0047720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operational planning and the </w:t>
      </w:r>
      <w:r w:rsidR="00F5658C" w:rsidRPr="00F5658C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R</w:t>
      </w:r>
      <w:r w:rsidR="0047720B" w:rsidRPr="00F5658C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eceding</w:t>
      </w:r>
      <w:r w:rsidR="0047720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model</w:t>
      </w:r>
      <w:r w:rsidR="00943FF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is only 0.3%-point</w:t>
      </w:r>
      <w:r w:rsidR="001A4768">
        <w:rPr>
          <w:rFonts w:ascii="Times New Roman" w:hAnsi="Times New Roman" w:cs="Times New Roman"/>
          <w:bCs/>
          <w:sz w:val="20"/>
          <w:szCs w:val="20"/>
          <w:lang w:val="en-GB"/>
        </w:rPr>
        <w:t>, whereas the computational costs of the</w:t>
      </w:r>
      <w:r w:rsidR="00F5658C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</w:t>
      </w:r>
      <w:r w:rsidR="00F5658C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 xml:space="preserve">Receding </w:t>
      </w:r>
      <w:r w:rsidR="00F5658C">
        <w:rPr>
          <w:rFonts w:ascii="Times New Roman" w:hAnsi="Times New Roman" w:cs="Times New Roman"/>
          <w:bCs/>
          <w:sz w:val="20"/>
          <w:szCs w:val="20"/>
          <w:lang w:val="en-GB"/>
        </w:rPr>
        <w:t>planning strategy is around 14 times higher</w:t>
      </w:r>
      <w:r w:rsidR="00943FF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. This highlights that the estimated opportunity cost </w:t>
      </w:r>
      <w:r w:rsidR="006F645B">
        <w:rPr>
          <w:rFonts w:ascii="Times New Roman" w:hAnsi="Times New Roman" w:cs="Times New Roman"/>
          <w:bCs/>
          <w:sz w:val="20"/>
          <w:szCs w:val="20"/>
          <w:lang w:val="en-GB"/>
        </w:rPr>
        <w:t>effi</w:t>
      </w:r>
      <w:r w:rsidR="00707CB9">
        <w:rPr>
          <w:rFonts w:ascii="Times New Roman" w:hAnsi="Times New Roman" w:cs="Times New Roman"/>
          <w:bCs/>
          <w:sz w:val="20"/>
          <w:szCs w:val="20"/>
          <w:lang w:val="en-GB"/>
        </w:rPr>
        <w:t>ciently</w:t>
      </w:r>
      <w:r w:rsidR="001A476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allows the day-to-day production planning to navigate </w:t>
      </w:r>
      <w:r w:rsidR="00F5658C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long-term offtake contracts. </w:t>
      </w:r>
      <w:r w:rsidR="00B4586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</w:t>
      </w:r>
      <w:r w:rsidR="00B45865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Aggregative</w:t>
      </w:r>
      <w:r w:rsidR="00B4586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decision-making </w:t>
      </w:r>
      <w:r w:rsidR="00457DE7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model also improves the earnings significantly from the </w:t>
      </w:r>
      <w:r w:rsidR="00457DE7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Fixed</w:t>
      </w:r>
      <w:r w:rsidR="00457DE7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schedule. However, it falls short by not being able to </w:t>
      </w:r>
      <w:r w:rsidR="00081FF1">
        <w:rPr>
          <w:rFonts w:ascii="Times New Roman" w:hAnsi="Times New Roman" w:cs="Times New Roman"/>
          <w:bCs/>
          <w:sz w:val="20"/>
          <w:szCs w:val="20"/>
          <w:lang w:val="en-GB"/>
        </w:rPr>
        <w:t>fully integrate the opportunity cost of electricity sales in the day-to-day fuel production planning.</w:t>
      </w:r>
    </w:p>
    <w:p w14:paraId="546B22C4" w14:textId="457AE39A" w:rsidR="0065628E" w:rsidRDefault="00BA39A4" w:rsidP="00BA39A4">
      <w:pPr>
        <w:keepNext/>
        <w:spacing w:line="240" w:lineRule="auto"/>
        <w:jc w:val="center"/>
      </w:pPr>
      <w:r w:rsidRPr="00BA39A4">
        <w:rPr>
          <w:noProof/>
        </w:rPr>
        <w:drawing>
          <wp:inline distT="0" distB="0" distL="0" distR="0" wp14:anchorId="53D0A1C1" wp14:editId="542B9F40">
            <wp:extent cx="2265454" cy="1276350"/>
            <wp:effectExtent l="0" t="0" r="1905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1A3DAF4-8DA0-4BD2-73A0-571485FEB4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1A3DAF4-8DA0-4BD2-73A0-571485FEB4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3346" cy="12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170" w:rsidRPr="00857170">
        <w:rPr>
          <w:noProof/>
        </w:rPr>
        <w:t xml:space="preserve"> </w:t>
      </w:r>
      <w:r w:rsidR="00857170" w:rsidRPr="00857170">
        <w:rPr>
          <w:noProof/>
        </w:rPr>
        <w:drawing>
          <wp:inline distT="0" distB="0" distL="0" distR="0" wp14:anchorId="6559815A" wp14:editId="12E8B177">
            <wp:extent cx="2235305" cy="1283081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43BCDA3-4442-0244-DA1F-8263403668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43BCDA3-4442-0244-DA1F-8263403668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8107" cy="13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658B" w14:textId="32927D11" w:rsidR="00723E02" w:rsidRPr="00F30B38" w:rsidRDefault="00240014" w:rsidP="0096769C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Continuing to utilize the 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>ISP</w:t>
      </w: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planning strategy, </w:t>
      </w:r>
      <w:r w:rsidR="00FF40F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study investigates the potential value of </w:t>
      </w:r>
      <w:r w:rsidR="003D6ADB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 flexible offtake contract. </w:t>
      </w:r>
      <w:r w:rsidR="00A73E47">
        <w:rPr>
          <w:rFonts w:ascii="Times New Roman" w:hAnsi="Times New Roman" w:cs="Times New Roman"/>
          <w:bCs/>
          <w:sz w:val="20"/>
          <w:szCs w:val="20"/>
          <w:lang w:val="en-GB"/>
        </w:rPr>
        <w:t>Utilizing the developed framework</w:t>
      </w:r>
      <w:r w:rsidR="005240DC">
        <w:rPr>
          <w:rFonts w:ascii="Times New Roman" w:hAnsi="Times New Roman" w:cs="Times New Roman"/>
          <w:bCs/>
          <w:sz w:val="20"/>
          <w:szCs w:val="20"/>
          <w:lang w:val="en-GB"/>
        </w:rPr>
        <w:t>,</w:t>
      </w:r>
      <w:r w:rsidR="00A73E47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we show that </w:t>
      </w:r>
      <w:r w:rsidR="00773FA6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allowing a buffer volume on the annual contracted volume of ±10% </w:t>
      </w:r>
      <w:r w:rsidR="00F30B3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allows for a profit increase of </w:t>
      </w:r>
      <w:r w:rsidR="00C82753">
        <w:rPr>
          <w:rFonts w:ascii="Times New Roman" w:hAnsi="Times New Roman" w:cs="Times New Roman"/>
          <w:bCs/>
          <w:sz w:val="20"/>
          <w:szCs w:val="20"/>
          <w:lang w:val="en-GB"/>
        </w:rPr>
        <w:t>7.9</w:t>
      </w:r>
      <w:r w:rsidR="00F30B38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% using the limited foresight </w:t>
      </w:r>
      <w:r w:rsidR="00F30B38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 xml:space="preserve">ISP </w:t>
      </w:r>
      <w:r w:rsidR="00F30B38">
        <w:rPr>
          <w:rFonts w:ascii="Times New Roman" w:hAnsi="Times New Roman" w:cs="Times New Roman"/>
          <w:bCs/>
          <w:sz w:val="20"/>
          <w:szCs w:val="20"/>
          <w:lang w:val="en-GB"/>
        </w:rPr>
        <w:t>guided operational planning</w:t>
      </w:r>
      <w:r w:rsidR="005240DC">
        <w:rPr>
          <w:rFonts w:ascii="Times New Roman" w:hAnsi="Times New Roman" w:cs="Times New Roman"/>
          <w:bCs/>
          <w:sz w:val="20"/>
          <w:szCs w:val="20"/>
          <w:lang w:val="en-GB"/>
        </w:rPr>
        <w:t>.</w:t>
      </w:r>
      <w:r w:rsidR="00715945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This both enables the PtX technology to operate more flexibly </w:t>
      </w:r>
      <w:r w:rsidR="00AB22E3">
        <w:rPr>
          <w:rFonts w:ascii="Times New Roman" w:hAnsi="Times New Roman" w:cs="Times New Roman"/>
          <w:bCs/>
          <w:sz w:val="20"/>
          <w:szCs w:val="20"/>
          <w:lang w:val="en-GB"/>
        </w:rPr>
        <w:t>but also enables the fuel producer to lower the production costs of their products, facilitating decarbonization.</w:t>
      </w:r>
    </w:p>
    <w:p w14:paraId="52433CA6" w14:textId="2B723693" w:rsidR="00F46ECE" w:rsidRPr="00F46ECE" w:rsidRDefault="00F46ECE" w:rsidP="0096769C">
      <w:pPr>
        <w:spacing w:line="240" w:lineRule="auto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F46ECE">
        <w:rPr>
          <w:rFonts w:ascii="Times New Roman" w:hAnsi="Times New Roman" w:cs="Times New Roman"/>
          <w:b/>
          <w:sz w:val="20"/>
          <w:szCs w:val="20"/>
          <w:lang w:val="en-GB"/>
        </w:rPr>
        <w:t>Conclusions</w:t>
      </w:r>
    </w:p>
    <w:p w14:paraId="4527A723" w14:textId="65943B8B" w:rsidR="008E0735" w:rsidRDefault="00AC0D8B" w:rsidP="0096769C">
      <w:pPr>
        <w:spacing w:line="240" w:lineRule="auto"/>
        <w:rPr>
          <w:rFonts w:ascii="Times New Roman" w:hAnsi="Times New Roman" w:cs="Times New Roman"/>
          <w:iCs/>
          <w:sz w:val="20"/>
          <w:szCs w:val="20"/>
          <w:lang w:val="en-GB"/>
        </w:rPr>
      </w:pPr>
      <w:r>
        <w:rPr>
          <w:rFonts w:ascii="Times New Roman" w:hAnsi="Times New Roman" w:cs="Times New Roman"/>
          <w:iCs/>
          <w:sz w:val="20"/>
          <w:szCs w:val="20"/>
          <w:lang w:val="en-GB"/>
        </w:rPr>
        <w:t xml:space="preserve">The study concludes </w:t>
      </w:r>
      <w:r w:rsidR="00FE5797">
        <w:rPr>
          <w:rFonts w:ascii="Times New Roman" w:hAnsi="Times New Roman" w:cs="Times New Roman"/>
          <w:iCs/>
          <w:sz w:val="20"/>
          <w:szCs w:val="20"/>
          <w:lang w:val="en-GB"/>
        </w:rPr>
        <w:t>that long-term contractual commitments can be</w:t>
      </w:r>
      <w:r w:rsidR="00DD7482">
        <w:rPr>
          <w:rFonts w:ascii="Times New Roman" w:hAnsi="Times New Roman" w:cs="Times New Roman"/>
          <w:iCs/>
          <w:sz w:val="20"/>
          <w:szCs w:val="20"/>
          <w:lang w:val="en-GB"/>
        </w:rPr>
        <w:t xml:space="preserve"> integrated in the daily </w:t>
      </w:r>
      <w:r w:rsidR="00261256">
        <w:rPr>
          <w:rFonts w:ascii="Times New Roman" w:hAnsi="Times New Roman" w:cs="Times New Roman"/>
          <w:iCs/>
          <w:sz w:val="20"/>
          <w:szCs w:val="20"/>
          <w:lang w:val="en-GB"/>
        </w:rPr>
        <w:t xml:space="preserve">operational </w:t>
      </w:r>
      <w:r w:rsidR="00DD7482">
        <w:rPr>
          <w:rFonts w:ascii="Times New Roman" w:hAnsi="Times New Roman" w:cs="Times New Roman"/>
          <w:iCs/>
          <w:sz w:val="20"/>
          <w:szCs w:val="20"/>
          <w:lang w:val="en-GB"/>
        </w:rPr>
        <w:t xml:space="preserve">planning </w:t>
      </w:r>
      <w:r w:rsidR="00261256">
        <w:rPr>
          <w:rFonts w:ascii="Times New Roman" w:hAnsi="Times New Roman" w:cs="Times New Roman"/>
          <w:iCs/>
          <w:sz w:val="20"/>
          <w:szCs w:val="20"/>
          <w:lang w:val="en-GB"/>
        </w:rPr>
        <w:t xml:space="preserve">of a fuel producer. By accurately estimating the dynamic opportunity cost of electricity sales, the long-term contracts are navigated </w:t>
      </w:r>
      <w:r w:rsidR="004242D3">
        <w:rPr>
          <w:rFonts w:ascii="Times New Roman" w:hAnsi="Times New Roman" w:cs="Times New Roman"/>
          <w:iCs/>
          <w:sz w:val="20"/>
          <w:szCs w:val="20"/>
          <w:lang w:val="en-GB"/>
        </w:rPr>
        <w:t>efficiently allowing flexible operations while staying compliant.</w:t>
      </w:r>
    </w:p>
    <w:p w14:paraId="26713FEA" w14:textId="71BFFEFB" w:rsidR="0026581A" w:rsidRDefault="0026581A" w:rsidP="0026581A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computational cost of the planning strategies is kept relatively low by keeping a fully linear model formulation in this study. However, future work could look to more accurately model startup costs and operational states of the plant units, which </w:t>
      </w:r>
      <w:r w:rsidR="002D44C9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would make it intractable to utilize a model formulation approach like the </w:t>
      </w:r>
      <w:r w:rsidR="002D44C9">
        <w:rPr>
          <w:rFonts w:ascii="Times New Roman" w:hAnsi="Times New Roman" w:cs="Times New Roman"/>
          <w:bCs/>
          <w:i/>
          <w:iCs/>
          <w:sz w:val="20"/>
          <w:szCs w:val="20"/>
          <w:lang w:val="en-GB"/>
        </w:rPr>
        <w:t xml:space="preserve">Receding </w:t>
      </w:r>
      <w:r w:rsidR="002D44C9">
        <w:rPr>
          <w:rFonts w:ascii="Times New Roman" w:hAnsi="Times New Roman" w:cs="Times New Roman"/>
          <w:bCs/>
          <w:sz w:val="20"/>
          <w:szCs w:val="20"/>
          <w:lang w:val="en-GB"/>
        </w:rPr>
        <w:t>horizon model.</w:t>
      </w:r>
    </w:p>
    <w:p w14:paraId="1FFC29D4" w14:textId="2EAC8E41" w:rsidR="00685D79" w:rsidRPr="002D44C9" w:rsidRDefault="00685D79" w:rsidP="0026581A">
      <w:pPr>
        <w:spacing w:line="240" w:lineRule="auto"/>
        <w:rPr>
          <w:rFonts w:ascii="Times New Roman" w:hAnsi="Times New Roman" w:cs="Times New Roman"/>
          <w:bCs/>
          <w:sz w:val="20"/>
          <w:szCs w:val="20"/>
          <w:lang w:val="en-GB"/>
        </w:rPr>
      </w:pPr>
      <w:r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study also highlights </w:t>
      </w:r>
      <w:r w:rsidR="00276441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the value of allowing fuel producers to </w:t>
      </w:r>
      <w:r w:rsidR="00FE75B0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negotiate </w:t>
      </w:r>
      <w:r w:rsidR="000036F5">
        <w:rPr>
          <w:rFonts w:ascii="Times New Roman" w:hAnsi="Times New Roman" w:cs="Times New Roman"/>
          <w:bCs/>
          <w:sz w:val="20"/>
          <w:szCs w:val="20"/>
          <w:lang w:val="en-GB"/>
        </w:rPr>
        <w:t>offtake contracts with buffer volumes. Future work should look more into the trade-offs for the stakeholders</w:t>
      </w:r>
      <w:r w:rsidR="001B06CC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 and the potential </w:t>
      </w:r>
      <w:r w:rsidR="0011550A">
        <w:rPr>
          <w:rFonts w:ascii="Times New Roman" w:hAnsi="Times New Roman" w:cs="Times New Roman"/>
          <w:bCs/>
          <w:sz w:val="20"/>
          <w:szCs w:val="20"/>
          <w:lang w:val="en-GB"/>
        </w:rPr>
        <w:t xml:space="preserve">value of the </w:t>
      </w:r>
      <w:r w:rsidR="00AF33EE">
        <w:rPr>
          <w:rFonts w:ascii="Times New Roman" w:hAnsi="Times New Roman" w:cs="Times New Roman"/>
          <w:bCs/>
          <w:sz w:val="20"/>
          <w:szCs w:val="20"/>
          <w:lang w:val="en-GB"/>
        </w:rPr>
        <w:t>contract flexibility for the energy system.</w:t>
      </w:r>
    </w:p>
    <w:p w14:paraId="71AB7F9C" w14:textId="387F2049" w:rsidR="004242D3" w:rsidRPr="0098259C" w:rsidRDefault="004242D3" w:rsidP="0098259C">
      <w:pPr>
        <w:rPr>
          <w:rFonts w:ascii="Times New Roman" w:hAnsi="Times New Roman" w:cs="Times New Roman"/>
          <w:iCs/>
          <w:sz w:val="20"/>
          <w:szCs w:val="20"/>
          <w:lang w:val="en-GB"/>
        </w:rPr>
      </w:pPr>
    </w:p>
    <w:sectPr w:rsidR="004242D3" w:rsidRPr="0098259C" w:rsidSect="00632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CE"/>
    <w:rsid w:val="000036F5"/>
    <w:rsid w:val="00062E8F"/>
    <w:rsid w:val="00081FF1"/>
    <w:rsid w:val="000C2AFD"/>
    <w:rsid w:val="000D4D2A"/>
    <w:rsid w:val="0011550A"/>
    <w:rsid w:val="001779A8"/>
    <w:rsid w:val="00186989"/>
    <w:rsid w:val="001A4768"/>
    <w:rsid w:val="001B06CC"/>
    <w:rsid w:val="001C1756"/>
    <w:rsid w:val="001C21FC"/>
    <w:rsid w:val="00202BAA"/>
    <w:rsid w:val="00207275"/>
    <w:rsid w:val="002377FD"/>
    <w:rsid w:val="00240014"/>
    <w:rsid w:val="00256E9F"/>
    <w:rsid w:val="00261256"/>
    <w:rsid w:val="00263076"/>
    <w:rsid w:val="0026581A"/>
    <w:rsid w:val="002670B9"/>
    <w:rsid w:val="002709A8"/>
    <w:rsid w:val="00273FD3"/>
    <w:rsid w:val="00276441"/>
    <w:rsid w:val="0029717D"/>
    <w:rsid w:val="002D083F"/>
    <w:rsid w:val="002D44C9"/>
    <w:rsid w:val="00331CF6"/>
    <w:rsid w:val="0036307D"/>
    <w:rsid w:val="00390032"/>
    <w:rsid w:val="003D09E2"/>
    <w:rsid w:val="003D6ADB"/>
    <w:rsid w:val="003F1BDF"/>
    <w:rsid w:val="003F5B66"/>
    <w:rsid w:val="004242D3"/>
    <w:rsid w:val="00457DE7"/>
    <w:rsid w:val="0047720B"/>
    <w:rsid w:val="004A2553"/>
    <w:rsid w:val="004B0C5A"/>
    <w:rsid w:val="004B3170"/>
    <w:rsid w:val="004D3C2F"/>
    <w:rsid w:val="005240DC"/>
    <w:rsid w:val="00525DAA"/>
    <w:rsid w:val="005358AA"/>
    <w:rsid w:val="00547525"/>
    <w:rsid w:val="005551CA"/>
    <w:rsid w:val="005A4AEE"/>
    <w:rsid w:val="005A591D"/>
    <w:rsid w:val="005B1EDB"/>
    <w:rsid w:val="005E3896"/>
    <w:rsid w:val="005E516E"/>
    <w:rsid w:val="00616381"/>
    <w:rsid w:val="00632EB2"/>
    <w:rsid w:val="00633108"/>
    <w:rsid w:val="006355D9"/>
    <w:rsid w:val="00636EFB"/>
    <w:rsid w:val="0065628E"/>
    <w:rsid w:val="006704FE"/>
    <w:rsid w:val="00685D79"/>
    <w:rsid w:val="006D6586"/>
    <w:rsid w:val="006F1AF2"/>
    <w:rsid w:val="006F645B"/>
    <w:rsid w:val="006F724B"/>
    <w:rsid w:val="00707CB9"/>
    <w:rsid w:val="00715945"/>
    <w:rsid w:val="00722553"/>
    <w:rsid w:val="00723E02"/>
    <w:rsid w:val="007240C6"/>
    <w:rsid w:val="00726185"/>
    <w:rsid w:val="00733725"/>
    <w:rsid w:val="00736C42"/>
    <w:rsid w:val="00745F37"/>
    <w:rsid w:val="007619A0"/>
    <w:rsid w:val="00763CA0"/>
    <w:rsid w:val="00765290"/>
    <w:rsid w:val="00773FA6"/>
    <w:rsid w:val="00795A45"/>
    <w:rsid w:val="007A01D4"/>
    <w:rsid w:val="007A7C2B"/>
    <w:rsid w:val="007B414C"/>
    <w:rsid w:val="007F6772"/>
    <w:rsid w:val="00805BBE"/>
    <w:rsid w:val="00815C0C"/>
    <w:rsid w:val="00833061"/>
    <w:rsid w:val="008373F7"/>
    <w:rsid w:val="008541E7"/>
    <w:rsid w:val="00857170"/>
    <w:rsid w:val="00860AB4"/>
    <w:rsid w:val="00862E75"/>
    <w:rsid w:val="008B4748"/>
    <w:rsid w:val="008C5016"/>
    <w:rsid w:val="008E0735"/>
    <w:rsid w:val="009072B2"/>
    <w:rsid w:val="009116CC"/>
    <w:rsid w:val="00943FF0"/>
    <w:rsid w:val="00965E3F"/>
    <w:rsid w:val="0096769C"/>
    <w:rsid w:val="0098259C"/>
    <w:rsid w:val="009C2174"/>
    <w:rsid w:val="009E784E"/>
    <w:rsid w:val="00A06523"/>
    <w:rsid w:val="00A14308"/>
    <w:rsid w:val="00A254DB"/>
    <w:rsid w:val="00A44D44"/>
    <w:rsid w:val="00A576CE"/>
    <w:rsid w:val="00A73E47"/>
    <w:rsid w:val="00A80546"/>
    <w:rsid w:val="00A82972"/>
    <w:rsid w:val="00AA12FE"/>
    <w:rsid w:val="00AB22E3"/>
    <w:rsid w:val="00AC0D8B"/>
    <w:rsid w:val="00AC14B9"/>
    <w:rsid w:val="00AD292E"/>
    <w:rsid w:val="00AD7F6F"/>
    <w:rsid w:val="00AE25D0"/>
    <w:rsid w:val="00AF33EE"/>
    <w:rsid w:val="00AF6F66"/>
    <w:rsid w:val="00B00FDF"/>
    <w:rsid w:val="00B17F28"/>
    <w:rsid w:val="00B236F1"/>
    <w:rsid w:val="00B268E2"/>
    <w:rsid w:val="00B45865"/>
    <w:rsid w:val="00B4587D"/>
    <w:rsid w:val="00B53A9B"/>
    <w:rsid w:val="00B54B07"/>
    <w:rsid w:val="00B82EB5"/>
    <w:rsid w:val="00B9058D"/>
    <w:rsid w:val="00BA39A4"/>
    <w:rsid w:val="00BE4BD1"/>
    <w:rsid w:val="00BF2C4E"/>
    <w:rsid w:val="00C12CDA"/>
    <w:rsid w:val="00C33528"/>
    <w:rsid w:val="00C37BA1"/>
    <w:rsid w:val="00C441C9"/>
    <w:rsid w:val="00C4480A"/>
    <w:rsid w:val="00C45E5A"/>
    <w:rsid w:val="00C82753"/>
    <w:rsid w:val="00C85C7C"/>
    <w:rsid w:val="00C96570"/>
    <w:rsid w:val="00CA45F4"/>
    <w:rsid w:val="00CD6DD0"/>
    <w:rsid w:val="00CE1D93"/>
    <w:rsid w:val="00D02E76"/>
    <w:rsid w:val="00D76B02"/>
    <w:rsid w:val="00D77269"/>
    <w:rsid w:val="00DA16C6"/>
    <w:rsid w:val="00DB0A61"/>
    <w:rsid w:val="00DB2CB7"/>
    <w:rsid w:val="00DC33D2"/>
    <w:rsid w:val="00DD034F"/>
    <w:rsid w:val="00DD3175"/>
    <w:rsid w:val="00DD7482"/>
    <w:rsid w:val="00DF4F92"/>
    <w:rsid w:val="00E14BFA"/>
    <w:rsid w:val="00E54CD2"/>
    <w:rsid w:val="00E646EA"/>
    <w:rsid w:val="00E7146C"/>
    <w:rsid w:val="00E8366E"/>
    <w:rsid w:val="00E87DFE"/>
    <w:rsid w:val="00EC2185"/>
    <w:rsid w:val="00ED6D60"/>
    <w:rsid w:val="00EF68CF"/>
    <w:rsid w:val="00F146D6"/>
    <w:rsid w:val="00F20C26"/>
    <w:rsid w:val="00F30B38"/>
    <w:rsid w:val="00F44A95"/>
    <w:rsid w:val="00F46ECE"/>
    <w:rsid w:val="00F52D70"/>
    <w:rsid w:val="00F5658C"/>
    <w:rsid w:val="00F72C6E"/>
    <w:rsid w:val="00F941BD"/>
    <w:rsid w:val="00FA4AB4"/>
    <w:rsid w:val="00FB3AF4"/>
    <w:rsid w:val="00FE5797"/>
    <w:rsid w:val="00FE75B0"/>
    <w:rsid w:val="00FF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E703A"/>
  <w15:chartTrackingRefBased/>
  <w15:docId w15:val="{A9E74E13-71F4-472C-A5C6-9F7E3171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C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355D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829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dogke@dtu.d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ko@bluepp.dk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arpour@dtu.dk" TargetMode="External"/><Relationship Id="rId10" Type="http://schemas.openxmlformats.org/officeDocument/2006/relationships/image" Target="media/image3.png"/><Relationship Id="rId4" Type="http://schemas.openxmlformats.org/officeDocument/2006/relationships/hyperlink" Target="mailto:fskfe@dtu.dk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2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Skou Fertin</dc:creator>
  <cp:keywords/>
  <dc:description/>
  <cp:lastModifiedBy>Frederik Skou Fertin</cp:lastModifiedBy>
  <cp:revision>161</cp:revision>
  <dcterms:created xsi:type="dcterms:W3CDTF">2026-04-09T12:41:00Z</dcterms:created>
  <dcterms:modified xsi:type="dcterms:W3CDTF">2026-04-13T08:41:00Z</dcterms:modified>
</cp:coreProperties>
</file>