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Die Briefe aus dem Umfeld Jean Pauls als Social Media-Corpus </w:t>
      </w:r>
    </w:p>
    <w:p w:rsidR="00000000" w:rsidDel="00000000" w:rsidP="00000000" w:rsidRDefault="00000000" w:rsidRPr="00000000" w14:paraId="00000002">
      <w:pPr>
        <w:spacing w:after="240" w:before="240" w:lineRule="auto"/>
        <w:rPr/>
      </w:pPr>
      <w:r w:rsidDel="00000000" w:rsidR="00000000" w:rsidRPr="00000000">
        <w:rPr>
          <w:rtl w:val="0"/>
        </w:rPr>
        <w:t xml:space="preserve">Wenn die Briefkultur um 1800 Ähnlichkeiten zu den Social Media von heute aufweist, dann sollten die Strukturen und Praktiken der epistolaren Kommunikation mit ähnlichen Methoden untersuchbar sein, so lautet die Ausgangsthese dieses Beitrags. Während wissenschaftliche Editionen traditionell Ergebnis und Gegenstand qualitativer Forschung sind, in denen der Einzeltext bzw. wenige Texte im Zentrum der Beobachtung und Argumentation stehen, werden die umfangreichen Korpora der Social Media vorrangig aus quantitativer Perspektive analysiert, u. a. von Sozialwissenschaften, Kommunikationswissenschaften und (Wirtschafts-)Informatik.</w:t>
      </w:r>
      <w:r w:rsidDel="00000000" w:rsidR="00000000" w:rsidRPr="00000000">
        <w:rPr>
          <w:vertAlign w:val="superscript"/>
        </w:rPr>
        <w:footnoteReference w:customMarkFollows="0" w:id="0"/>
      </w:r>
      <w:r w:rsidDel="00000000" w:rsidR="00000000" w:rsidRPr="00000000">
        <w:rPr>
          <w:rtl w:val="0"/>
        </w:rPr>
        <w:t xml:space="preserve"> Ein solches ‘distant reading’ von historischen Korrespondenzen, das sich von der Detaillektüre, d.h. dem close reading einzelner Texte bzw. Textinhalte löst und eine abstrakte Sichtweise auf einen größeren Briefbestand generiert, kann dazu beitragen, allgemeine Merkmale der Kommunikation zu identifizieren.</w:t>
      </w:r>
      <w:r w:rsidDel="00000000" w:rsidR="00000000" w:rsidRPr="00000000">
        <w:rPr>
          <w:vertAlign w:val="superscript"/>
        </w:rPr>
        <w:footnoteReference w:customMarkFollows="0" w:id="1"/>
      </w:r>
      <w:r w:rsidDel="00000000" w:rsidR="00000000" w:rsidRPr="00000000">
        <w:rPr>
          <w:rtl w:val="0"/>
        </w:rPr>
        <w:t xml:space="preserve"> Ausgehend von diesen Überlegungen und am Beispiel einer Social Media Community um 1800, dem Korrespondenzumfeld des Schriftstellers Jean Paul, zeigt der Beitrag zunächst Parallelen zwischen digitalen und epistolaren Communities. Da die Umfeldbriefe als digitale Edition vorliegen, sind alle Voraussetzungen gegeben, um die Kommunikation computergestützt und mit Bezug auf das Gesamtkorpus in den Blick zu nehmen. Dafür wird zunächst das Analysepotential der Editionsdaten eruiert, bevor auf Methode und Workflow der Analyse selbst eingegangen wird. Die eigentlichen Analysen, deren Ergebnisse interpretiert und diskutiert werden, nehmen vor allem drei Fragestellungen an das Korpus in den Blick: </w:t>
      </w:r>
      <w:r w:rsidDel="00000000" w:rsidR="00000000" w:rsidRPr="00000000">
        <w:rPr>
          <w:i w:val="1"/>
          <w:rtl w:val="0"/>
        </w:rPr>
        <w:t xml:space="preserve">Wer kommuniziert?</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Was wird kommuniziert?</w:t>
      </w:r>
      <w:r w:rsidDel="00000000" w:rsidR="00000000" w:rsidRPr="00000000">
        <w:rPr>
          <w:rtl w:val="0"/>
        </w:rPr>
        <w:t xml:space="preserve"> und </w:t>
      </w:r>
      <w:r w:rsidDel="00000000" w:rsidR="00000000" w:rsidRPr="00000000">
        <w:rPr>
          <w:i w:val="1"/>
          <w:rtl w:val="0"/>
        </w:rPr>
        <w:t xml:space="preserve">Wie wird kommuniziert?</w:t>
      </w:r>
      <w:r w:rsidDel="00000000" w:rsidR="00000000" w:rsidRPr="00000000">
        <w:rPr>
          <w:rtl w:val="0"/>
        </w:rPr>
        <w:t xml:space="preserve"> </w:t>
      </w:r>
    </w:p>
    <w:p w:rsidR="00000000" w:rsidDel="00000000" w:rsidP="00000000" w:rsidRDefault="00000000" w:rsidRPr="00000000" w14:paraId="00000003">
      <w:pPr>
        <w:pStyle w:val="Heading1"/>
        <w:spacing w:after="240" w:before="240" w:lineRule="auto"/>
        <w:rPr/>
      </w:pPr>
      <w:bookmarkStart w:colFirst="0" w:colLast="0" w:name="_heading=h.wplcx8bg9hpk" w:id="0"/>
      <w:bookmarkEnd w:id="0"/>
      <w:r w:rsidDel="00000000" w:rsidR="00000000" w:rsidRPr="00000000">
        <w:rPr>
          <w:rtl w:val="0"/>
        </w:rPr>
        <w:t xml:space="preserve">Die Community der Umfeldbriefe</w:t>
      </w:r>
    </w:p>
    <w:p w:rsidR="00000000" w:rsidDel="00000000" w:rsidP="00000000" w:rsidRDefault="00000000" w:rsidRPr="00000000" w14:paraId="00000004">
      <w:pPr>
        <w:rPr/>
      </w:pPr>
      <w:r w:rsidDel="00000000" w:rsidR="00000000" w:rsidRPr="00000000">
        <w:rPr>
          <w:rtl w:val="0"/>
        </w:rPr>
        <w:t xml:space="preserve">Soziale Netzwerke sind kein reines Internetphänomen. Konstitution und Dynamik digitaler Netzwerke wie Facebook und Instagram weisen einige Ähnlichkeiten zu den Briefnetzwerken des 18. und 19. Jahrhunderts auf. Bei beiden Netzwerken handelt es sich um ‘Plattformen’, auf denen sich </w:t>
      </w:r>
      <w:r w:rsidDel="00000000" w:rsidR="00000000" w:rsidRPr="00000000">
        <w:rPr>
          <w:i w:val="1"/>
          <w:rtl w:val="0"/>
        </w:rPr>
        <w:t xml:space="preserve">Communities</w:t>
      </w:r>
      <w:r w:rsidDel="00000000" w:rsidR="00000000" w:rsidRPr="00000000">
        <w:rPr>
          <w:rtl w:val="0"/>
        </w:rPr>
        <w:t xml:space="preserve">, d. h. Gruppen von Individuen mit gemeinsamen Interessen, zusammenfinden. Ein epistolare Community um 1800 ist das Umfeld des Schriftstellers Jean Paul (1763–1825), bestehend aus Familie, Freunden und Kollegen. Seit 2020 erscheint ein Korpus der Umfeldbriefe als Teil der Edition </w:t>
      </w:r>
      <w:r w:rsidDel="00000000" w:rsidR="00000000" w:rsidRPr="00000000">
        <w:rPr>
          <w:i w:val="1"/>
          <w:rtl w:val="0"/>
        </w:rPr>
        <w:t xml:space="preserve">Jean Paul - Sämtliche Briefe digital, </w:t>
      </w:r>
      <w:r w:rsidDel="00000000" w:rsidR="00000000" w:rsidRPr="00000000">
        <w:rPr>
          <w:rtl w:val="0"/>
        </w:rPr>
        <w:t xml:space="preserve">das zum jetzigen Zeitpunkt 1156 Dokumente umfasst (Stand Mai 2022, v.5.0).</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Zur Edition der Umfeldbriefe zählen derzeit u.a. Caroline Richters (geb. Mayer, 1777–1860) eigenständige Korrespondenz jenseits der Briefe mit ihrem Ehemann Jean Paul, die Briefe ihrer Schwester und Berufsschriftstellerin Minna Spazier (geb. Mayer, spätere Uthe, 1776–1825) sowie die Korrespondenzen von Jean Pauls Freunden, dem Jurist und Schriftsteller Christian Otto und dem vielvernetzten jüdischen Kaufmann Emanuel (Osmund). Abgesehen von dieser personenbezogenen Sicht auf das Korpus, lassen sich verschiedene Kommunikationszirkel ausmachen, wie die Kommunikation der Richters mit Jean Pauls und Carolines Kindern Emma (1802–1853), Max (1803–1821) und Odilie (1804–1865) oder das Korrespondenznetz, dass sich während Jean Pauls Zeit in Weimar bildete, dem u.a. Caroline und Johann Gottfried Herder angehören. Der Kitt dieser Communities sind gemeinsame Bekanntschaften, Interessen und Themen. Wie sich Reiseinteressierte auf Instagram unter den Hashtags </w:t>
      </w:r>
      <w:r w:rsidDel="00000000" w:rsidR="00000000" w:rsidRPr="00000000">
        <w:rPr>
          <w:i w:val="1"/>
          <w:rtl w:val="0"/>
        </w:rPr>
        <w:t xml:space="preserve">#travelgram</w:t>
      </w:r>
      <w:r w:rsidDel="00000000" w:rsidR="00000000" w:rsidRPr="00000000">
        <w:rPr>
          <w:rtl w:val="0"/>
        </w:rPr>
        <w:t xml:space="preserve"> oder </w:t>
      </w:r>
      <w:r w:rsidDel="00000000" w:rsidR="00000000" w:rsidRPr="00000000">
        <w:rPr>
          <w:i w:val="1"/>
          <w:rtl w:val="0"/>
        </w:rPr>
        <w:t xml:space="preserve">#instatravel</w:t>
      </w:r>
      <w:r w:rsidDel="00000000" w:rsidR="00000000" w:rsidRPr="00000000">
        <w:rPr>
          <w:rtl w:val="0"/>
        </w:rPr>
        <w:t xml:space="preserve"> zusammenfinden, ergeben sich auch im Umfeld Jean Pauls thematische Bündelungen der Briefe, beispielsweise zum Thema “Reisen”, wenn auch ohne Markierung durch ein entsprechendes Hashtag.  Sowohl in den Social Media des World Wide Web als auch im sozialen Medium Brief gestaltet die Community bzw. die jeweiligen </w:t>
      </w:r>
      <w:r w:rsidDel="00000000" w:rsidR="00000000" w:rsidRPr="00000000">
        <w:rPr>
          <w:i w:val="1"/>
          <w:rtl w:val="0"/>
        </w:rPr>
        <w:t xml:space="preserve">User </w:t>
      </w:r>
      <w:r w:rsidDel="00000000" w:rsidR="00000000" w:rsidRPr="00000000">
        <w:rPr>
          <w:rtl w:val="0"/>
        </w:rPr>
        <w:t xml:space="preserve">die Inhalte bzw. den </w:t>
      </w:r>
      <w:r w:rsidDel="00000000" w:rsidR="00000000" w:rsidRPr="00000000">
        <w:rPr>
          <w:i w:val="1"/>
          <w:rtl w:val="0"/>
        </w:rPr>
        <w:t xml:space="preserve">Content </w:t>
      </w:r>
      <w:r w:rsidDel="00000000" w:rsidR="00000000" w:rsidRPr="00000000">
        <w:rPr>
          <w:rtl w:val="0"/>
        </w:rPr>
        <w:t xml:space="preserve">selbst (i.e. </w:t>
      </w:r>
      <w:r w:rsidDel="00000000" w:rsidR="00000000" w:rsidRPr="00000000">
        <w:rPr>
          <w:i w:val="1"/>
          <w:rtl w:val="0"/>
        </w:rPr>
        <w:t xml:space="preserve">user generated content</w:t>
      </w:r>
      <w:r w:rsidDel="00000000" w:rsidR="00000000" w:rsidRPr="00000000">
        <w:rPr>
          <w:rtl w:val="0"/>
        </w:rPr>
        <w:t xml:space="preserve">), weshalb diese “Informationen zu allen möglichen Lebensbereichen enthalten [können], die kaum professionell oder institutionell gefiltert würden oder den Anspruch hätten, Teil einer soziopolitischen Öffentlichkeit zu sein.”</w:t>
      </w:r>
      <w:r w:rsidDel="00000000" w:rsidR="00000000" w:rsidRPr="00000000">
        <w:rPr>
          <w:vertAlign w:val="superscript"/>
        </w:rPr>
        <w:footnoteReference w:customMarkFollows="0" w:id="3"/>
      </w:r>
      <w:r w:rsidDel="00000000" w:rsidR="00000000" w:rsidRPr="00000000">
        <w:rPr>
          <w:rtl w:val="0"/>
        </w:rPr>
        <w:t xml:space="preserve"> Zwar legen die großen Briefeditionen mit ihrem Fokus auf ‘geschichtsträchtige’ Individuen nahe, dass in historischen Netzwerken nur ‘intellektueller’ Content verhandelt wurde, allerdings - und auch das zeigt die Edition der Umfeldbriefe Jean Pauls - spannten sich Netzwerke um die schreibenden Protagonisten weiter in deren Orbit, in dem sich eigenständige Communities mit eigenen Themen bildeten. </w:t>
      </w:r>
      <w:r w:rsidDel="00000000" w:rsidR="00000000" w:rsidRPr="00000000">
        <w:rPr>
          <w:rtl w:val="0"/>
        </w:rPr>
        <w:t xml:space="preserve">Im Zentrum von Netzwerken gibt es damals wie heute meist ein oder mehrere personelle ‘Epizentren’, die besonders aktiv an der Kommunikation teilhaben und Interaktionen bündeln, und die man heutzutage als </w:t>
      </w:r>
      <w:r w:rsidDel="00000000" w:rsidR="00000000" w:rsidRPr="00000000">
        <w:rPr>
          <w:i w:val="1"/>
          <w:rtl w:val="0"/>
        </w:rPr>
        <w:t xml:space="preserve">Influencer</w:t>
      </w:r>
      <w:r w:rsidDel="00000000" w:rsidR="00000000" w:rsidRPr="00000000">
        <w:rPr>
          <w:rtl w:val="0"/>
        </w:rPr>
        <w:t xml:space="preserve"> bezeichnet.</w:t>
      </w:r>
      <w:r w:rsidDel="00000000" w:rsidR="00000000" w:rsidRPr="00000000">
        <w:rPr>
          <w:sz w:val="20"/>
          <w:szCs w:val="20"/>
          <w:rtl w:val="0"/>
        </w:rPr>
        <w:t xml:space="preserve"> </w:t>
      </w:r>
      <w:r w:rsidDel="00000000" w:rsidR="00000000" w:rsidRPr="00000000">
        <w:rPr>
          <w:rtl w:val="0"/>
        </w:rPr>
        <w:t xml:space="preserve">Eine zentrale Figur in Jean Pauls Umfeld bzw. im edierten Korpus ist u.a. Caroline Richter.</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Die Umfeldbriefe weisen nicht nur Parallelen zu Inhalten und Praktiken der digitalen Kommunikation von heute auf, man kann auch ähnliche Fragen an sie richten, darunter “Wer partizipiert im Netzwerk und welche Communities bilden sich?”, “Welcher Content liegt generell im </w:t>
      </w:r>
      <w:r w:rsidDel="00000000" w:rsidR="00000000" w:rsidRPr="00000000">
        <w:rPr>
          <w:i w:val="1"/>
          <w:rtl w:val="0"/>
        </w:rPr>
        <w:t xml:space="preserve">Trend</w:t>
      </w:r>
      <w:r w:rsidDel="00000000" w:rsidR="00000000" w:rsidRPr="00000000">
        <w:rPr>
          <w:rtl w:val="0"/>
        </w:rPr>
        <w:t xml:space="preserve"> oder geht zu bestimmten Zeitpunkten gar viral?” und “Wie wird über bestimmte Dinge gesprochen?” </w:t>
      </w:r>
    </w:p>
    <w:p w:rsidR="00000000" w:rsidDel="00000000" w:rsidP="00000000" w:rsidRDefault="00000000" w:rsidRPr="00000000" w14:paraId="00000007">
      <w:pPr>
        <w:pStyle w:val="Heading1"/>
        <w:rPr>
          <w:i w:val="1"/>
        </w:rPr>
      </w:pPr>
      <w:bookmarkStart w:colFirst="0" w:colLast="0" w:name="_heading=h.16rrckz9wgzp" w:id="1"/>
      <w:bookmarkEnd w:id="1"/>
      <w:r w:rsidDel="00000000" w:rsidR="00000000" w:rsidRPr="00000000">
        <w:rPr>
          <w:rtl w:val="0"/>
        </w:rPr>
        <w:t xml:space="preserve">Die Edition als </w:t>
      </w:r>
      <w:r w:rsidDel="00000000" w:rsidR="00000000" w:rsidRPr="00000000">
        <w:rPr>
          <w:i w:val="1"/>
          <w:rtl w:val="0"/>
        </w:rPr>
        <w:t xml:space="preserve">Smart Data</w:t>
      </w:r>
    </w:p>
    <w:p w:rsidR="00000000" w:rsidDel="00000000" w:rsidP="00000000" w:rsidRDefault="00000000" w:rsidRPr="00000000" w14:paraId="00000008">
      <w:pPr>
        <w:spacing w:after="240" w:before="240" w:lineRule="auto"/>
        <w:rPr/>
      </w:pPr>
      <w:r w:rsidDel="00000000" w:rsidR="00000000" w:rsidRPr="00000000">
        <w:rPr>
          <w:rtl w:val="0"/>
        </w:rPr>
        <w:t xml:space="preserve">Sowohl bei Social Media-Inhalten als auch bei digitalen Editionstexten handelt es sich im Kern um Datensätze,</w:t>
      </w:r>
      <w:r w:rsidDel="00000000" w:rsidR="00000000" w:rsidRPr="00000000">
        <w:rPr>
          <w:vertAlign w:val="superscript"/>
        </w:rPr>
        <w:footnoteReference w:customMarkFollows="0" w:id="5"/>
      </w:r>
      <w:r w:rsidDel="00000000" w:rsidR="00000000" w:rsidRPr="00000000">
        <w:rPr>
          <w:rtl w:val="0"/>
        </w:rPr>
        <w:t xml:space="preserve"> die sich allerdings hinsichtlich einiger Aspekte grundlegend unterscheiden. Datensätze sozialer Netzwerke kann man, insofern sie frei verfügbar sind, über technische Schnittstellen oder über spezielle Monitoring-Tools beziehen, wobei, letztere vor allem Dingen von Unternehmen zur Auswertung von Interaktionen oder Inhalte verwendet werden, um zukünftige Entwicklungen wie Trends und Kundeninteressen zu prognostizieren. Auch wenn die Daten der Social Media für die Auswertung vorverarbeitet werden, indem beispielsweise Metadaten extrahiert werden, ist die Überlieferung selbst der Analysedatensatz. Im Fall von historischen Korrespondenzen wird die Überlieferung hingegen durch die digitale Edition bzw. die Kodierung repräsentiert, wobei editorische Entscheidungen über die Erfassung und Erschließung des Textes zum Tragen kommen. Beispielsweise können sich Editorinnen entscheiden, bestimmte Textbestandteile gar nicht erst zu erfassen oder bestimmte textkritische Phänomene zu normalisieren. Gleichzeitig ist die editorische Bearbeitung aber auch immer eine Wissensanreicherung, durch welche die Überlieferung bzw. die Daten an Informationen gewinnen, beispielsweise durch die Referenzierung von Personennamen auf Normdatensätze. </w:t>
      </w:r>
    </w:p>
    <w:p w:rsidR="00000000" w:rsidDel="00000000" w:rsidP="00000000" w:rsidRDefault="00000000" w:rsidRPr="00000000" w14:paraId="00000009">
      <w:pPr>
        <w:rPr/>
      </w:pPr>
      <w:r w:rsidDel="00000000" w:rsidR="00000000" w:rsidRPr="00000000">
        <w:rPr>
          <w:rtl w:val="0"/>
        </w:rPr>
        <w:t xml:space="preserve">Daten aus Social Media-Plattformen und wissenschaftlichen Editionen unterscheiden sich im Wesentlichen in Qualität und Umfang. Die „Sozialen Medien [bieten] zwar eine Überfülle von Informationen (Big Data), aber zunächst einmal keine hoch-qualitativen Daten im herkömmlichen Sinn,”</w:t>
      </w:r>
      <w:r w:rsidDel="00000000" w:rsidR="00000000" w:rsidRPr="00000000">
        <w:rPr>
          <w:vertAlign w:val="superscript"/>
        </w:rPr>
        <w:footnoteReference w:customMarkFollows="0" w:id="6"/>
      </w:r>
      <w:r w:rsidDel="00000000" w:rsidR="00000000" w:rsidRPr="00000000">
        <w:rPr>
          <w:rtl w:val="0"/>
        </w:rPr>
        <w:t xml:space="preserve"> wie sie in digitalen Editionen vorliegen und welche in die Kategorie „Smart Data“ fallen, die Christoph Schöch wie folgt definiert: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tl w:val="0"/>
        </w:rPr>
      </w:r>
    </w:p>
    <w:p w:rsidR="00000000" w:rsidDel="00000000" w:rsidP="00000000" w:rsidRDefault="00000000" w:rsidRPr="00000000" w14:paraId="0000000A">
      <w:pPr>
        <w:ind w:left="720" w:firstLine="0"/>
        <w:rPr>
          <w:sz w:val="22"/>
          <w:szCs w:val="22"/>
        </w:rPr>
      </w:pPr>
      <w:r w:rsidDel="00000000" w:rsidR="00000000" w:rsidRPr="00000000">
        <w:rPr>
          <w:sz w:val="22"/>
          <w:szCs w:val="22"/>
          <w:rtl w:val="0"/>
        </w:rPr>
        <w:t xml:space="preserve">Smart data is data that is structured or semi-structured; it is explicit and enriched, because in addition to the raw data, it contains markup, annotations and metadata. And smart data is “clean”, in the sense that imperfections of the process of capture or creation have been reduced as much as possible, within the limits of the specific aspect of the original object being represented. This also means that smart data tends to be “small” in volume, because its creation involves human agency and demands time.</w:t>
      </w:r>
      <w:r w:rsidDel="00000000" w:rsidR="00000000" w:rsidRPr="00000000">
        <w:rPr>
          <w:sz w:val="22"/>
          <w:szCs w:val="22"/>
          <w:vertAlign w:val="superscript"/>
        </w:rPr>
        <w:footnoteReference w:customMarkFollows="0" w:id="7"/>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Mit 1156 Dokumenten ist das Korpus der Umfeldbriefe sowohl aus Sicht der Social Media Analytics als auch aus Perspektive der quantitativen Textanalyse ein verhältnismäßig kleines, aber ein “intelligentes” Datenset. Die Briefe liegen im W3C-Standardformat XML vor und sind nach den Richtlinien der Text Encoding Initiative (TEI), dem de facto Standard zur Kodierung wissenschaftlicher digitaler Editionen, erfasst.</w:t>
      </w:r>
      <w:r w:rsidDel="00000000" w:rsidR="00000000" w:rsidRPr="00000000">
        <w:rPr>
          <w:vertAlign w:val="superscript"/>
        </w:rPr>
        <w:footnoteReference w:customMarkFollows="0" w:id="8"/>
      </w:r>
      <w:r w:rsidDel="00000000" w:rsidR="00000000" w:rsidRPr="00000000">
        <w:rPr>
          <w:rtl w:val="0"/>
        </w:rPr>
        <w:t xml:space="preserve"> Das Kodierungsschema der Umfeldbriefe orientiert sich an zwei TEI-Subsets: dem Basisformat des Deutschen Textarchivs</w:t>
      </w:r>
      <w:r w:rsidDel="00000000" w:rsidR="00000000" w:rsidRPr="00000000">
        <w:rPr>
          <w:vertAlign w:val="superscript"/>
        </w:rPr>
        <w:footnoteReference w:customMarkFollows="0" w:id="9"/>
      </w:r>
      <w:r w:rsidDel="00000000" w:rsidR="00000000" w:rsidRPr="00000000">
        <w:rPr>
          <w:rtl w:val="0"/>
        </w:rPr>
        <w:t xml:space="preserve"> und ediarum.BASE, das der Software ediarum,</w:t>
      </w:r>
      <w:r w:rsidDel="00000000" w:rsidR="00000000" w:rsidRPr="00000000">
        <w:rPr>
          <w:vertAlign w:val="superscript"/>
        </w:rPr>
        <w:footnoteReference w:customMarkFollows="0" w:id="10"/>
      </w:r>
      <w:r w:rsidDel="00000000" w:rsidR="00000000" w:rsidRPr="00000000">
        <w:rPr>
          <w:rtl w:val="0"/>
        </w:rPr>
        <w:t xml:space="preserve"> mit dem im Rahmen der Umfeldbriefe ediert wird, zugrunde liegt. Mit der TEI werden sowohl strukturelle Informationen zur Textgestalt (z.B. Überschrift, Absatz, Zeile etc.) als auch inhaltlich angereicherte Informationen (z.B.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00C">
      <w:pPr>
        <w:rPr/>
      </w:pPr>
      <w:bookmarkStart w:colFirst="0" w:colLast="0" w:name="_heading=h.93x0gowb01n3" w:id="2"/>
      <w:bookmarkEnd w:id="2"/>
      <w:r w:rsidDel="00000000" w:rsidR="00000000" w:rsidRPr="00000000">
        <w:rPr>
          <w:rtl w:val="0"/>
        </w:rPr>
        <w:t xml:space="preserve">Entscheidend für ‘smarte Daten’ ist das Vorhandensein und die Qualität von Metadaten, d.h. von Informationen, mit denen das eigentliche Datenset beschrieben wird. Für die im Beitrag vorgenommenen Analysen sind im Korpus der Umfeldbriefe aus dem Bereich des &lt;teiHeader&gt;, dem TEI-Abschnitt zur Verzeichnung der Metadaten, vor allem zwei Informationstypen interessant: Briefmetadaten und Verschlagwortung.</w:t>
      </w:r>
    </w:p>
    <w:p w:rsidR="00000000" w:rsidDel="00000000" w:rsidP="00000000" w:rsidRDefault="00000000" w:rsidRPr="00000000" w14:paraId="0000000D">
      <w:pPr>
        <w:rPr/>
      </w:pPr>
      <w:bookmarkStart w:colFirst="0" w:colLast="0" w:name="_heading=h.kjs1vl1kyb1p" w:id="3"/>
      <w:bookmarkEnd w:id="3"/>
      <w:r w:rsidDel="00000000" w:rsidR="00000000" w:rsidRPr="00000000">
        <w:rPr>
          <w:rtl w:val="0"/>
        </w:rPr>
        <w:t xml:space="preserve">Im TEI-Element &lt;correspSearch&gt; werden die Briefmetadaten strukturiert erfasst, d. h.  Informationen zu Sender:innen, Sendedatum und -ort sowie Empfänger:innen (sowie, wenn vorhanden Empfangsdatum und -ort). Die Jean Paul-Edition setzt dabei auf die Verwendung von Normdatensätzen. Personen sind, wenn vorhanden, mit Identifikatoren der Gemeinsamen Normdatei</w:t>
      </w:r>
      <w:r w:rsidDel="00000000" w:rsidR="00000000" w:rsidRPr="00000000">
        <w:rPr>
          <w:vertAlign w:val="superscript"/>
        </w:rPr>
        <w:footnoteReference w:customMarkFollows="0" w:id="12"/>
      </w:r>
      <w:r w:rsidDel="00000000" w:rsidR="00000000" w:rsidRPr="00000000">
        <w:rPr>
          <w:rtl w:val="0"/>
        </w:rPr>
        <w:t xml:space="preserve"> verknüpft, Orte mit Identifikatoren von GeoNames.</w:t>
      </w:r>
      <w:r w:rsidDel="00000000" w:rsidR="00000000" w:rsidRPr="00000000">
        <w:rPr>
          <w:vertAlign w:val="superscript"/>
        </w:rPr>
        <w:footnoteReference w:customMarkFollows="0" w:id="13"/>
      </w:r>
      <w:r w:rsidDel="00000000" w:rsidR="00000000" w:rsidRPr="00000000">
        <w:rPr>
          <w:rtl w:val="0"/>
        </w:rPr>
        <w:t xml:space="preserve"> Datumsangaben sind einheitlich im Format der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International Organization for Standardization </w:t>
      </w:r>
      <w:r w:rsidDel="00000000" w:rsidR="00000000" w:rsidRPr="00000000">
        <w:rPr>
          <w:rtl w:val="0"/>
        </w:rPr>
        <w:t xml:space="preserve">(ISO)</w:t>
      </w:r>
      <w:r w:rsidDel="00000000" w:rsidR="00000000" w:rsidRPr="00000000">
        <w:rPr>
          <w:vertAlign w:val="superscript"/>
        </w:rPr>
        <w:footnoteReference w:customMarkFollows="0" w:id="14"/>
      </w:r>
      <w:r w:rsidDel="00000000" w:rsidR="00000000" w:rsidRPr="00000000">
        <w:rPr>
          <w:rtl w:val="0"/>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correspSearch,</w:t>
      </w:r>
      <w:r w:rsidDel="00000000" w:rsidR="00000000" w:rsidRPr="00000000">
        <w:rPr>
          <w:vertAlign w:val="superscript"/>
        </w:rPr>
        <w:footnoteReference w:customMarkFollows="0" w:id="15"/>
      </w:r>
      <w:r w:rsidDel="00000000" w:rsidR="00000000" w:rsidRPr="00000000">
        <w:rPr>
          <w:rtl w:val="0"/>
        </w:rPr>
        <w:t xml:space="preserve"> der Briefmetadaten verschiedener Editionen aggregiert. Nicht zuletzt stellt die stringente Erfassung der Briefmetadaten die Weichen für kontextualisierbare Analysen, mit denen sich bestimmte Fragen an die Inhalte des Briefkorpus in Bezug zu Personen oder Zeiträumen setzen lassen.</w:t>
      </w:r>
    </w:p>
    <w:p w:rsidR="00000000" w:rsidDel="00000000" w:rsidP="00000000" w:rsidRDefault="00000000" w:rsidRPr="00000000" w14:paraId="0000000E">
      <w:pPr>
        <w:rPr/>
      </w:pPr>
      <w:bookmarkStart w:colFirst="0" w:colLast="0" w:name="_heading=h.1zkrjq1w0ok5" w:id="4"/>
      <w:bookmarkEnd w:id="4"/>
      <w:r w:rsidDel="00000000" w:rsidR="00000000" w:rsidRPr="00000000">
        <w:rPr>
          <w:rtl w:val="0"/>
        </w:rPr>
        <w:t xml:space="preserve">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wird und andererseits mit thematischen Schlagwörtern inhaltlich kategorisiert wird. Die Verschlagwortung wird innerhalb des TEI-Abschnitts &lt;textClass&gt; mit Referenz auf Registerdateien, die von den Bearbeiter:innen der Edition gepflegt werden, realisiert.</w:t>
      </w:r>
      <w:r w:rsidDel="00000000" w:rsidR="00000000" w:rsidRPr="00000000">
        <w:rPr>
          <w:vertAlign w:val="superscript"/>
        </w:rPr>
        <w:footnoteReference w:customMarkFollows="0" w:id="16"/>
      </w:r>
      <w:r w:rsidDel="00000000" w:rsidR="00000000" w:rsidRPr="00000000">
        <w:rPr>
          <w:rtl w:val="0"/>
        </w:rPr>
        <w:t xml:space="preserve"> Zwei größere Korrespondenzkreise bzw. Teilcommunities im Umfeld sind beispielsweise der “Caroline Richter-Kreis” (189 Briefe), der die Korrespondenz um Jean Pauls Frau aggregiert, oder der “Zeitung für die elegante Welt-Kreis” (113 Briefe), in dem sich die Korrespondenz um die 1800 von Jean Pauls Schwager Karl Spazier gegründete gleichnamige Zeitschrift sammelt. Zu den etwas kleineren und weniger spezifischen Kreisen zählen beispielsweise die “Verlagskorrespondenz” (72 Briefe) und die “Amtskorrespondenz” (9 Briefe). Zu den thematischen Schlagwörtern zur systematischen Erfassung der Kommunikationsinhalte zählen u.a. Reisen (147), “Berufliches” (17 Briefe) und “Bittschreiben” (15 Briefe). Allgemeine und viel behandelte Themen können im zweistufig angelegten Themenregister weiter ausdifferenziert sein, wie “Reisen” in u.a. “Ausflüge” (7), “Besuche” (117) und “Jean Pauls Besuche in Heidelberg” (7). Die Themenverschlagwortung ist - über die Edition hinaus - ein wertvolles Instrument zur Erforschung des Familienlebens und -alltags um 1800. Themen wie “Erziehung”, “Geschlechterrollen” und “Krankheiten” sind auch allgemein für Sozial- und Kulturwissenschaften oder auch die Geschlechterforschung von Interesse. Derzeit  sind insgesamt 40 Korrespondenzkreise und 64 Themen mit insgesamt 80 Unterthemen verzeichnet. </w:t>
      </w:r>
    </w:p>
    <w:p w:rsidR="00000000" w:rsidDel="00000000" w:rsidP="00000000" w:rsidRDefault="00000000" w:rsidRPr="00000000" w14:paraId="0000000F">
      <w:pPr>
        <w:rPr>
          <w:vertAlign w:val="superscript"/>
        </w:rPr>
      </w:pPr>
      <w:bookmarkStart w:colFirst="0" w:colLast="0" w:name="_heading=h.gjdgxs" w:id="5"/>
      <w:bookmarkEnd w:id="5"/>
      <w:r w:rsidDel="00000000" w:rsidR="00000000" w:rsidRPr="00000000">
        <w:rPr>
          <w:rtl w:val="0"/>
        </w:rPr>
        <w:t xml:space="preserve">Auch wenn es sich bei dem Korpus der Umfeldbriefe wie bereits erwähnt nicht um ‘Big Data’ handelt, ist für die geplanten Analysen ausschlaggebend, dass sich aufgrund des hohen Grades an homogener technischer Strukturierung und informationsreicher inhaltlicher Annotation Erkenntnisse über die kommunizierende Community ableiten lassen. Allgemeiner formulieren es danah boyd und Kate Crawford: “The size of data should fit the research question being asked; in some cases, small is best.”</w:t>
      </w:r>
      <w:r w:rsidDel="00000000" w:rsidR="00000000" w:rsidRPr="00000000">
        <w:rPr>
          <w:vertAlign w:val="superscript"/>
        </w:rPr>
        <w:footnoteReference w:customMarkFollows="0" w:id="17"/>
      </w:r>
      <w:r w:rsidDel="00000000" w:rsidR="00000000" w:rsidRPr="00000000">
        <w:rPr>
          <w:vertAlign w:val="superscript"/>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1"/>
        <w:rPr/>
      </w:pPr>
      <w:bookmarkStart w:colFirst="0" w:colLast="0" w:name="_heading=h.ab9llbxx5a41" w:id="6"/>
      <w:bookmarkEnd w:id="6"/>
      <w:sdt>
        <w:sdtPr>
          <w:tag w:val="goog_rdk_0"/>
        </w:sdtPr>
        <w:sdtContent>
          <w:commentRangeStart w:id="0"/>
        </w:sdtContent>
      </w:sdt>
      <w:r w:rsidDel="00000000" w:rsidR="00000000" w:rsidRPr="00000000">
        <w:rPr>
          <w:rtl w:val="0"/>
        </w:rPr>
        <w:t xml:space="preserve">Methoden und Workflow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pPr>
      <w:bookmarkStart w:colFirst="0" w:colLast="0" w:name="_heading=h.brqeh6qb863" w:id="7"/>
      <w:bookmarkEnd w:id="7"/>
      <w:r w:rsidDel="00000000" w:rsidR="00000000" w:rsidRPr="00000000">
        <w:rPr>
          <w:rtl w:val="0"/>
        </w:rPr>
        <w:t xml:space="preserve">Um von Daten zu Analyseergebnissen zu kommen, sind verschiedene Schritte nötig: In ihrem „Social Media Analytics Framework“</w:t>
      </w:r>
      <w:r w:rsidDel="00000000" w:rsidR="00000000" w:rsidRPr="00000000">
        <w:rPr>
          <w:vertAlign w:val="superscript"/>
        </w:rPr>
        <w:footnoteReference w:customMarkFollows="0" w:id="18"/>
      </w:r>
      <w:r w:rsidDel="00000000" w:rsidR="00000000" w:rsidRPr="00000000">
        <w:rPr>
          <w:rtl w:val="0"/>
        </w:rPr>
        <w:t xml:space="preserve"> definieren Stieglitz und Dang-Xuan ein fünfstufiges Verfahren der Datenanalyse von Social-Media-Korpora, das sich wie folgt zusammensetzt: i.) die Definition einer Zielstellung der Analyse, ii.) die Sammlung von Daten, beispielsweise über technische Schnittstellen oder HTML-Parsing, iii.) die Vorverarbeitung der gesammelten Daten für die Analyse (Englischen „Preprocessing“), bei der beispielsweise irrelevante Informationen aus den Daten entfernt werden, iv.) die eigentliche Datenanalyse und v.) der Ergebnisbericht. Bei der Datenanalyse (iv.) wird zwischen drei Ansätzen differenziert: a.) die Themen der Kommunikation, die vorrangig durch durch Text Mining-Verfahren ermittelt werden, b.) die Stimmung der Kommunikation, identifiziert im Verfahren der Sentiment Analyse, und c.) die Kommunikationsstrukturen, ausgewertet in Netzwerkanalysen. </w:t>
      </w:r>
    </w:p>
    <w:p w:rsidR="00000000" w:rsidDel="00000000" w:rsidP="00000000" w:rsidRDefault="00000000" w:rsidRPr="00000000" w14:paraId="00000012">
      <w:pPr>
        <w:rPr/>
      </w:pPr>
      <w:bookmarkStart w:colFirst="0" w:colLast="0" w:name="_heading=h.jovsdsd0j6s7" w:id="8"/>
      <w:bookmarkEnd w:id="8"/>
      <w:r w:rsidDel="00000000" w:rsidR="00000000" w:rsidRPr="00000000">
        <w:rPr>
          <w:rtl w:val="0"/>
        </w:rPr>
        <w:t xml:space="preserve">Das Modell von Stieglitz und Dang-Xuan entspricht in den Grundzügen dem Vorgehen bei der Analyse der Umfeldbriefe, allerdings mit zwei Einschränkungen. Zum einen beschränken sich die quantitativen Analysemethoden durch die Masse und den geringen Strukturierungsgrad von Social Media-Daten vorrangig auf Verfahren des maschinellen Lernens, während im Falle der Analyse der stark strukturierten Informationen im Datensatz der Umfeldbriefe auch konkrete Datenfelder (z.B. Schlagwörter) statistisch auswertbar sind.  Zum anderen legt das Modell nahe, der Workflow verläuft linear von der Eingabe eines Datensatzes bis zur Ausgabe der Ergebnisse. Dies ist bei der Analyse der Umfeldbriefe sowie in allen anderen Anwendungsfällen, in denen komplexe Sachverhalte in Daten analysiert werden, nicht zu erwarten. Vielmehr muss man sich die ‘Laufrichtung’ zwischen Preprocessing (iii.), Analyse (iv.) und Ergebnis (v.) als Spirale vorstellen, bei der sich mit jeder Drehung das Verständnis über die Analyse selbst erweitert: Zum einen kann es beispielsweise sein, dass man in einem ersten Analyseansatz zu einem Ergebnis gelangt, dass durch den neuen Blick auf die Daten den Impuls gibt, bisher in den Analysedaten nicht berücksichtigte Datenfelder nun doch in die Analyse aufzunehmen. Zum anderen kann sich das Ergebnis als unbefriedigend herausstellen, wenn beispielsweise zu viele Merkmale bei der Analyse berücksichtigt wurden und das Ergebnis dadurch überladen und nicht ‘lesbar’ ist. In solch einem Fall würde man Analysedaten oder Methode ebenfalls entsprechend anpassen, um den Fokus der Analyse stringenter herauszustellen. </w:t>
      </w:r>
    </w:p>
    <w:p w:rsidR="00000000" w:rsidDel="00000000" w:rsidP="00000000" w:rsidRDefault="00000000" w:rsidRPr="00000000" w14:paraId="00000013">
      <w:pPr>
        <w:rPr/>
      </w:pPr>
      <w:bookmarkStart w:colFirst="0" w:colLast="0" w:name="_heading=h.9jn7krt6raf9" w:id="9"/>
      <w:bookmarkEnd w:id="9"/>
      <w:r w:rsidDel="00000000" w:rsidR="00000000" w:rsidRPr="00000000">
        <w:rPr>
          <w:rtl w:val="0"/>
        </w:rPr>
        <w:t xml:space="preserve">Abbildung 1 zeigt den Workflow bei der Analyse der Umfeldbriefe. Die drei Fragenbereiche Communities, thematische Trends und Sprache bilden den Ausgangspunkt. Die Daten werden über das Forschungsdatenrepositorium Zenodo bezogen, wo sie vom Projekt unter unter freier Lizenz publiziert werden. Für den Analysedatensatz werden lediglich die Aspekte der Daten extrahiert, die für die Analysen relevant sind. Erstellt wurden 2 Analysedatensets:</w:t>
      </w:r>
    </w:p>
    <w:p w:rsidR="00000000" w:rsidDel="00000000" w:rsidP="00000000" w:rsidRDefault="00000000" w:rsidRPr="00000000" w14:paraId="00000014">
      <w:pPr>
        <w:numPr>
          <w:ilvl w:val="0"/>
          <w:numId w:val="2"/>
        </w:numPr>
        <w:spacing w:after="0" w:afterAutospacing="0"/>
        <w:ind w:left="720" w:hanging="360"/>
        <w:rPr>
          <w:u w:val="none"/>
        </w:rPr>
      </w:pPr>
      <w:bookmarkStart w:colFirst="0" w:colLast="0" w:name="_heading=h.ru686cs0bu6x" w:id="10"/>
      <w:bookmarkEnd w:id="10"/>
      <w:r w:rsidDel="00000000" w:rsidR="00000000" w:rsidRPr="00000000">
        <w:rPr>
          <w:rtl w:val="0"/>
        </w:rPr>
        <w:t xml:space="preserve">Datenset I umfasst Titeldaten, Korrespondenzmetadaten (Sender:in, Empfänger:in, Sendedatum, Sendeort), Schlagwörter zu Korrespondenzkreisen und Themen sowie Listen der Personen, Orte und Werke, über die im Brieftext gesprochen wird. </w:t>
      </w:r>
    </w:p>
    <w:p w:rsidR="00000000" w:rsidDel="00000000" w:rsidP="00000000" w:rsidRDefault="00000000" w:rsidRPr="00000000" w14:paraId="00000015">
      <w:pPr>
        <w:numPr>
          <w:ilvl w:val="0"/>
          <w:numId w:val="2"/>
        </w:numPr>
        <w:ind w:left="720" w:hanging="360"/>
        <w:rPr>
          <w:u w:val="none"/>
        </w:rPr>
      </w:pPr>
      <w:bookmarkStart w:colFirst="0" w:colLast="0" w:name="_heading=h.2gaz7polnohf" w:id="11"/>
      <w:bookmarkEnd w:id="11"/>
      <w:r w:rsidDel="00000000" w:rsidR="00000000" w:rsidRPr="00000000">
        <w:rPr>
          <w:rtl w:val="0"/>
        </w:rPr>
        <w:t xml:space="preserve">Datenset II besteht aus dem Brieftext, dessen historische Orhtographie und Varianz mit Hilfe der Software CAB - normalisiert wurde, um textbasierte Analysen zu vereinfachen. </w:t>
      </w:r>
    </w:p>
    <w:p w:rsidR="00000000" w:rsidDel="00000000" w:rsidP="00000000" w:rsidRDefault="00000000" w:rsidRPr="00000000" w14:paraId="00000016">
      <w:pPr>
        <w:rPr/>
      </w:pPr>
      <w:bookmarkStart w:colFirst="0" w:colLast="0" w:name="_heading=h.kjz25jeolrap" w:id="12"/>
      <w:bookmarkEnd w:id="12"/>
      <w:r w:rsidDel="00000000" w:rsidR="00000000" w:rsidRPr="00000000">
        <w:rPr>
          <w:rtl w:val="0"/>
        </w:rPr>
        <w:t xml:space="preserve">Methoden der Analye: Statistische Auswertung, Sentiment Analysis</w:t>
      </w:r>
    </w:p>
    <w:p w:rsidR="00000000" w:rsidDel="00000000" w:rsidP="00000000" w:rsidRDefault="00000000" w:rsidRPr="00000000" w14:paraId="00000017">
      <w:pPr>
        <w:spacing w:after="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Bei der Verarbeitung bin ich wie folgt vorgegangen.</w:t>
      </w:r>
    </w:p>
    <w:p w:rsidR="00000000" w:rsidDel="00000000" w:rsidP="00000000" w:rsidRDefault="00000000" w:rsidRPr="00000000" w14:paraId="0000001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Daten: XML/TEI</w:t>
      </w:r>
    </w:p>
    <w:p w:rsidR="00000000" w:rsidDel="00000000" w:rsidP="00000000" w:rsidRDefault="00000000" w:rsidRPr="00000000" w14:paraId="0000001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Verarbeitung: XSLT</w:t>
      </w:r>
    </w:p>
    <w:p w:rsidR="00000000" w:rsidDel="00000000" w:rsidP="00000000" w:rsidRDefault="00000000" w:rsidRPr="00000000" w14:paraId="0000001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Analyseergebnis: CSV, ganz einfaches und plattformunabhägiges Format</w:t>
      </w:r>
    </w:p>
    <w:p w:rsidR="00000000" w:rsidDel="00000000" w:rsidP="00000000" w:rsidRDefault="00000000" w:rsidRPr="00000000" w14:paraId="0000001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Kann man mit verschiedenen Tools weiterverarbeiten um Visualisierungen zu generieren; ich habe Excel verwendet</w:t>
      </w:r>
    </w:p>
    <w:p w:rsidR="00000000" w:rsidDel="00000000" w:rsidP="00000000" w:rsidRDefault="00000000" w:rsidRPr="00000000" w14:paraId="0000001D">
      <w:pPr>
        <w:widowControl w:val="1"/>
        <w:spacing w:after="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widowControl w:val="1"/>
        <w:rPr>
          <w:rFonts w:ascii="Cambria" w:cs="Cambria" w:eastAsia="Cambria" w:hAnsi="Cambria"/>
          <w:color w:val="000000"/>
          <w:sz w:val="36"/>
          <w:szCs w:val="36"/>
        </w:rPr>
      </w:pPr>
      <w:bookmarkStart w:colFirst="0" w:colLast="0" w:name="_heading=h.npyfra9r12p0" w:id="13"/>
      <w:bookmarkEnd w:id="13"/>
      <w:r w:rsidDel="00000000" w:rsidR="00000000" w:rsidRPr="00000000">
        <w:rPr>
          <w:rtl w:val="0"/>
        </w:rPr>
        <w:t xml:space="preserve">Analysen und Deutung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Bei den edierten Umfeldbriefe handelt es sich um kein abgeschlossenes Korpus, und zwar unter zweierlei Gesichtspunkten: 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Abschluss durch eine Selektion bzw. den Ausschluss von Quellen selbst bestimmen. Diese Auswahl kann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das die Ergebnisse auf die Datengrundlage, nicht aber auf die Wirklichkeit rückbezogen werden. Wenn man an das Korpus also beispielsweise die Frage richtet, wer im Umfeld wieviel geschrieben hat, dann fragt man genau genommen nach dem Anteil der Briefe eines einzelnen Korrespondenten am derzeit verfügbaren Korpus, d.h. an den Briefen, die ausgewählt wurden und überliefert sind. </w:t>
      </w:r>
    </w:p>
    <w:p w:rsidR="00000000" w:rsidDel="00000000" w:rsidP="00000000" w:rsidRDefault="00000000" w:rsidRPr="00000000" w14:paraId="00000020">
      <w:pPr>
        <w:pStyle w:val="Heading2"/>
        <w:rPr/>
      </w:pPr>
      <w:bookmarkStart w:colFirst="0" w:colLast="0" w:name="_heading=h.xnkrbaqcz39m" w:id="14"/>
      <w:bookmarkEnd w:id="14"/>
      <w:r w:rsidDel="00000000" w:rsidR="00000000" w:rsidRPr="00000000">
        <w:rPr>
          <w:rtl w:val="0"/>
        </w:rPr>
        <w:t xml:space="preserve">W</w:t>
      </w:r>
      <w:r w:rsidDel="00000000" w:rsidR="00000000" w:rsidRPr="00000000">
        <w:rPr>
          <w:rtl w:val="0"/>
        </w:rPr>
        <w:t xml:space="preserve">er schreibt? </w:t>
      </w:r>
    </w:p>
    <w:p w:rsidR="00000000" w:rsidDel="00000000" w:rsidP="00000000" w:rsidRDefault="00000000" w:rsidRPr="00000000" w14:paraId="00000021">
      <w:pPr>
        <w:pStyle w:val="Heading2"/>
        <w:rPr>
          <w:b w:val="1"/>
        </w:rPr>
      </w:pPr>
      <w:bookmarkStart w:colFirst="0" w:colLast="0" w:name="_heading=h.uw7w9l9jzqc7" w:id="15"/>
      <w:bookmarkEnd w:id="15"/>
      <w:r w:rsidDel="00000000" w:rsidR="00000000" w:rsidRPr="00000000">
        <w:rPr>
          <w:b w:val="1"/>
          <w:rtl w:val="0"/>
        </w:rPr>
        <w:t xml:space="preserve">Was kann man über die Personen sagen: Wie viel sie geschrieben haben, wie viele verschiedene Personen sie damit erreicht haben (Friends, Reichweite). Ein anderer Punkt wäre die durchschnittliche intensität der Kommunikation.</w:t>
      </w:r>
    </w:p>
    <w:p w:rsidR="00000000" w:rsidDel="00000000" w:rsidP="00000000" w:rsidRDefault="00000000" w:rsidRPr="00000000" w14:paraId="00000022">
      <w:pPr>
        <w:rPr>
          <w:b w:val="1"/>
        </w:rPr>
      </w:pPr>
      <w:r w:rsidDel="00000000" w:rsidR="00000000" w:rsidRPr="00000000">
        <w:rPr>
          <w:b w:val="1"/>
          <w:rtl w:val="0"/>
        </w:rPr>
        <w:t xml:space="preserve">insgesamt, wie oft sie erwähnt werden (Mentions)</w:t>
      </w:r>
    </w:p>
    <w:p w:rsidR="00000000" w:rsidDel="00000000" w:rsidP="00000000" w:rsidRDefault="00000000" w:rsidRPr="00000000" w14:paraId="00000023">
      <w:pPr>
        <w:rPr>
          <w:b w:val="1"/>
        </w:rPr>
      </w:pPr>
      <w:r w:rsidDel="00000000" w:rsidR="00000000" w:rsidRPr="00000000">
        <w:rPr>
          <w:b w:val="1"/>
          <w:rtl w:val="0"/>
        </w:rPr>
        <w:t xml:space="preserve">Einfache Kennzahlen; kombinierte Kennzahlen. Dh. Verlauf der Jahre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Um sich eine erste Übersicht über Aktivität der Korrespondenten im Umfeld zu verschaffen, wird zunächst ermittelt, die Brutto und Nettoreichweite der aus Perspektive der Sender ermittelt. Beide Kennzahlen werden im Social Media-Marketing verwendet, um Zugriffe auf einer Webseite zu systematisieren und zu differenzieren. Die Bruttoreichweite definiert die Summe aller Zugriffe auf eine Webseite, die Nettoreichweite umfasst nur die Summe der Erstzugriffe. , was in etwa der Anzahl der Briefe der einzelnen Sender:innen insgesamt entspricht., was der Summe der verschiedenen Empfänger:innen, mit denen der Sender korrespondiert entspricht.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Eine der wichtigsten Kennzahlen der Social Media Analytics, wie sie im Kontext von Online-Marketing eingesetzt werden, ist die Reichweite bzw. Reach. Sie </w:t>
      </w:r>
      <w:r w:rsidDel="00000000" w:rsidR="00000000" w:rsidRPr="00000000">
        <w:rPr>
          <w:rtl w:val="0"/>
        </w:rPr>
        <w:t xml:space="preserve">gibt die Anzahl der Personen wieder, die mit einer Maßnahme bzw. innerhalb einer definierten Zielgruppe erreicht werden können, und ist somit für die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rPr>
          <w:sz w:val="26"/>
          <w:szCs w:val="26"/>
        </w:rPr>
      </w:pPr>
      <w:bookmarkStart w:colFirst="0" w:colLast="0" w:name="_heading=h.dcmccyb17ql1" w:id="16"/>
      <w:bookmarkEnd w:id="16"/>
      <w:r w:rsidDel="00000000" w:rsidR="00000000" w:rsidRPr="00000000">
        <w:rPr>
          <w:sz w:val="26"/>
          <w:szCs w:val="26"/>
          <w:rtl w:val="0"/>
        </w:rPr>
        <w:t xml:space="preserve">Bruttoreichweite, Nettoreichweite? Was ist das?</w:t>
      </w:r>
    </w:p>
    <w:p w:rsidR="00000000" w:rsidDel="00000000" w:rsidP="00000000" w:rsidRDefault="00000000" w:rsidRPr="00000000" w14:paraId="00000029">
      <w:pPr>
        <w:spacing w:after="240" w:before="240" w:lineRule="auto"/>
        <w:rPr/>
      </w:pPr>
      <w:r w:rsidDel="00000000" w:rsidR="00000000" w:rsidRPr="00000000">
        <w:rPr>
          <w:rtl w:val="0"/>
        </w:rPr>
        <w:t xml:space="preserve">Oftmals wird im Social Media Bereich von Brutto- oder Nettoreichweite gesprochen. Die </w:t>
      </w:r>
      <w:r w:rsidDel="00000000" w:rsidR="00000000" w:rsidRPr="00000000">
        <w:rPr>
          <w:b w:val="1"/>
          <w:rtl w:val="0"/>
        </w:rPr>
        <w:t xml:space="preserve">Bruttoreichweite</w:t>
      </w:r>
      <w:r w:rsidDel="00000000" w:rsidR="00000000" w:rsidRPr="00000000">
        <w:rPr>
          <w:rtl w:val="0"/>
        </w:rPr>
        <w:t xml:space="preserve"> bezeichnet dabei eine Gesamtsumme an einzelnen Reichweiten, die einfach zusammengezählt wurden. In der Praxis ist die Bruttoreichweite eine wenig aussagekräftige Zahl, da beim einfachen Zusammenzählen mögliche Überschneidungen der einzelnen Zielgruppen nicht berücksichtigt werden und so Einzelpersonen mehrfach miteinbezogen sind. Aussagekräftig wäre hingegen eine Gesamtreichweite, die Überschneidungen bereits berücksichtigt. Diese Art der Gesamtreichweite bezeichnet man auch als </w:t>
      </w:r>
      <w:r w:rsidDel="00000000" w:rsidR="00000000" w:rsidRPr="00000000">
        <w:rPr>
          <w:b w:val="1"/>
          <w:rtl w:val="0"/>
        </w:rPr>
        <w:t xml:space="preserve">Nettoreichweite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Worüber wird geschrieben?</w:t>
      </w:r>
    </w:p>
    <w:p w:rsidR="00000000" w:rsidDel="00000000" w:rsidP="00000000" w:rsidRDefault="00000000" w:rsidRPr="00000000" w14:paraId="0000002C">
      <w:pPr>
        <w:rPr/>
      </w:pPr>
      <w:r w:rsidDel="00000000" w:rsidR="00000000" w:rsidRPr="00000000">
        <w:rPr>
          <w:rtl w:val="0"/>
        </w:rPr>
        <w:t xml:space="preserve">SOV = Wert der Markensichtbarkeit / Gesamtwert der Marktsichtbarkeit</w:t>
      </w:r>
    </w:p>
    <w:p w:rsidR="00000000" w:rsidDel="00000000" w:rsidP="00000000" w:rsidRDefault="00000000" w:rsidRPr="00000000" w14:paraId="0000002D">
      <w:pPr>
        <w:rPr/>
      </w:pPr>
      <w:r w:rsidDel="00000000" w:rsidR="00000000" w:rsidRPr="00000000">
        <w:rPr/>
        <w:drawing>
          <wp:inline distB="114300" distT="114300" distL="114300" distR="114300">
            <wp:extent cx="5760410" cy="2006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share of voice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comments</w:t>
      </w:r>
    </w:p>
    <w:p w:rsidR="00000000" w:rsidDel="00000000" w:rsidP="00000000" w:rsidRDefault="00000000" w:rsidRPr="00000000" w14:paraId="00000030">
      <w:pPr>
        <w:ind w:left="0" w:firstLine="0"/>
        <w:rPr>
          <w:b w:val="1"/>
        </w:rPr>
      </w:pPr>
      <w:r w:rsidDel="00000000" w:rsidR="00000000" w:rsidRPr="00000000">
        <w:rPr>
          <w:b w:val="1"/>
          <w:rtl w:val="0"/>
        </w:rPr>
        <w:t xml:space="preserve">Themen: </w:t>
      </w:r>
    </w:p>
    <w:p w:rsidR="00000000" w:rsidDel="00000000" w:rsidP="00000000" w:rsidRDefault="00000000" w:rsidRPr="00000000" w14:paraId="00000031">
      <w:pPr>
        <w:numPr>
          <w:ilvl w:val="0"/>
          <w:numId w:val="3"/>
        </w:numPr>
        <w:spacing w:after="0" w:afterAutospacing="0"/>
        <w:ind w:left="720" w:hanging="360"/>
        <w:rPr>
          <w:u w:val="none"/>
        </w:rPr>
      </w:pPr>
      <w:r w:rsidDel="00000000" w:rsidR="00000000" w:rsidRPr="00000000">
        <w:rPr>
          <w:rtl w:val="0"/>
        </w:rPr>
        <w:t xml:space="preserve">Absolut</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wer setzt neue Themen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Im zeitlichen Verlauf</w:t>
      </w:r>
    </w:p>
    <w:p w:rsidR="00000000" w:rsidDel="00000000" w:rsidP="00000000" w:rsidRDefault="00000000" w:rsidRPr="00000000" w14:paraId="00000034">
      <w:pPr>
        <w:rPr>
          <w:b w:val="1"/>
        </w:rPr>
      </w:pPr>
      <w:r w:rsidDel="00000000" w:rsidR="00000000" w:rsidRPr="00000000">
        <w:rPr>
          <w:b w:val="1"/>
          <w:rtl w:val="0"/>
        </w:rPr>
        <w:t xml:space="preserve">Tonalität: </w:t>
      </w:r>
    </w:p>
    <w:p w:rsidR="00000000" w:rsidDel="00000000" w:rsidP="00000000" w:rsidRDefault="00000000" w:rsidRPr="00000000" w14:paraId="00000035">
      <w:pPr>
        <w:spacing w:after="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1"/>
        <w:spacing w:line="240" w:lineRule="auto"/>
        <w:jc w:val="left"/>
        <w:rPr/>
      </w:pPr>
      <w:bookmarkStart w:colFirst="0" w:colLast="0" w:name="_heading=h.f2pmvdxn5a5i" w:id="17"/>
      <w:bookmarkEnd w:id="17"/>
      <w:r w:rsidDel="00000000" w:rsidR="00000000" w:rsidRPr="00000000">
        <w:rPr>
          <w:rtl w:val="0"/>
        </w:rPr>
      </w:r>
    </w:p>
    <w:p w:rsidR="00000000" w:rsidDel="00000000" w:rsidP="00000000" w:rsidRDefault="00000000" w:rsidRPr="00000000" w14:paraId="00000037">
      <w:pPr>
        <w:pStyle w:val="Heading1"/>
        <w:spacing w:line="240" w:lineRule="auto"/>
        <w:jc w:val="left"/>
        <w:rPr/>
      </w:pPr>
      <w:bookmarkStart w:colFirst="0" w:colLast="0" w:name="_heading=h.a5kwco520m9i" w:id="18"/>
      <w:bookmarkEnd w:id="18"/>
      <w:r w:rsidDel="00000000" w:rsidR="00000000" w:rsidRPr="00000000">
        <w:rPr>
          <w:rtl w:val="0"/>
        </w:rPr>
        <w:t xml:space="preserve">Fazit</w:t>
      </w:r>
    </w:p>
    <w:p w:rsidR="00000000" w:rsidDel="00000000" w:rsidP="00000000" w:rsidRDefault="00000000" w:rsidRPr="00000000" w14:paraId="00000038">
      <w:pPr>
        <w:spacing w:after="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rsidR="00000000" w:rsidDel="00000000" w:rsidP="00000000" w:rsidRDefault="00000000" w:rsidRPr="00000000" w14:paraId="0000003A">
      <w:pPr>
        <w:spacing w:after="240" w:before="240" w:lineRule="auto"/>
        <w:rPr/>
      </w:pPr>
      <w:r w:rsidDel="00000000" w:rsidR="00000000" w:rsidRPr="00000000">
        <w:rPr>
          <w:rtl w:val="0"/>
        </w:rPr>
        <w:t xml:space="preserve">Gleichzeitig gilt es zu diskutieren, ob die ‚Social-Media-haftigkeit‘ der Briefe aus dem Umfeld Jean Pauls ausreicht, um mittels quantitativer Verfahren zu aussagekräftigen Ergebnissen zu gelangen.</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Grundsätzlich zielen die Überlegungen des Beitrags nicht auf eine bloße Quantifizierung der Kommunikation, sondern vor allem auf die Frage, wie man mit den qualitativ erschlossenen Editionsdaten zu wissenschaftlich fundierten quantitativen Analysen gelangen kann. Gleichzeitig gilt es zu diskutieren, ob die ‚Social-Media-haftigkeit‘ der Briefe aus dem Umfeld Jean Pauls ausreicht, um mittels quantitativer Verfahren zu aussagekräftigen Ergebnissen zu gelangen.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Learnings:</w:t>
      </w:r>
    </w:p>
    <w:p w:rsidR="00000000" w:rsidDel="00000000" w:rsidP="00000000" w:rsidRDefault="00000000" w:rsidRPr="00000000" w14:paraId="0000003E">
      <w:pPr>
        <w:rPr/>
      </w:pPr>
      <w:r w:rsidDel="00000000" w:rsidR="00000000" w:rsidRPr="00000000">
        <w:rPr>
          <w:rtl w:val="0"/>
        </w:rPr>
        <w:t xml:space="preserve">Unschärfe</w:t>
      </w:r>
    </w:p>
    <w:p w:rsidR="00000000" w:rsidDel="00000000" w:rsidP="00000000" w:rsidRDefault="00000000" w:rsidRPr="00000000" w14:paraId="0000003F">
      <w:pPr>
        <w:rPr/>
      </w:pPr>
      <w:r w:rsidDel="00000000" w:rsidR="00000000" w:rsidRPr="00000000">
        <w:rPr>
          <w:rtl w:val="0"/>
        </w:rPr>
        <w:t xml:space="preserve">Masse an Daten vs. Verstehbarkeit der Visualisierung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1" w:type="default"/>
      <w:footerReference r:id="rId12" w:type="default"/>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erike Neuber" w:id="0" w:date="2022-05-31T12:48:1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https://link.springer.com/chapter/10.1007/978-3-476-05446-3_20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5">
    <w:p w:rsidR="00000000" w:rsidDel="00000000" w:rsidP="00000000" w:rsidRDefault="00000000" w:rsidRPr="00000000" w14:paraId="0000004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 Editionen als Daten siehe u.a. Patrick Sahle: Zwischen Mediengebundenheit und Transmedialisierung. Anmerkungen zum Verhältnis von Edition und Medien. In: editio, Bd. 24. Berlin 2010, S. 23–36.</w:t>
      </w:r>
    </w:p>
  </w:footnote>
  <w:footnote w:id="6">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Strohmaier und Zens 2014, hier S. 74.</w:t>
      </w:r>
    </w:p>
  </w:footnote>
  <w:footnote w:id="7">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Schöch, Christof. “Big? Smart? Clean? Messy? Data in the Humanities.” </w:t>
      </w:r>
      <w:r w:rsidDel="00000000" w:rsidR="00000000" w:rsidRPr="00000000">
        <w:rPr>
          <w:i w:val="1"/>
          <w:color w:val="000000"/>
          <w:sz w:val="20"/>
          <w:szCs w:val="20"/>
          <w:rtl w:val="0"/>
        </w:rPr>
        <w:t xml:space="preserve">Journal of the Digital Humanities</w:t>
      </w:r>
      <w:r w:rsidDel="00000000" w:rsidR="00000000" w:rsidRPr="00000000">
        <w:rPr>
          <w:color w:val="000000"/>
          <w:sz w:val="20"/>
          <w:szCs w:val="20"/>
          <w:rtl w:val="0"/>
        </w:rPr>
        <w:t xml:space="preserve"> 2, no. 3 (2013): 2–13, hier S. 4. URL: </w:t>
      </w:r>
      <w:hyperlink r:id="rId1">
        <w:r w:rsidDel="00000000" w:rsidR="00000000" w:rsidRPr="00000000">
          <w:rPr>
            <w:color w:val="0563c1"/>
            <w:sz w:val="20"/>
            <w:szCs w:val="20"/>
            <w:u w:val="single"/>
            <w:rtl w:val="0"/>
          </w:rPr>
          <w:t xml:space="preserve">http://journalofdigitalhumanities.org/2-3/big-smart-clean-messy-data-in-the-humanities/</w:t>
        </w:r>
      </w:hyperlink>
      <w:r w:rsidDel="00000000" w:rsidR="00000000" w:rsidRPr="00000000">
        <w:rPr>
          <w:color w:val="000000"/>
          <w:sz w:val="20"/>
          <w:szCs w:val="20"/>
          <w:rtl w:val="0"/>
        </w:rPr>
        <w:t xml:space="preserve">. Ähnlich beschreiben es boyd und Crawford (2012) in ihrer Gegenüberstellung von ‘big data’ und ‘small data’, S. 670: “[I]</w:t>
      </w:r>
      <w:r w:rsidDel="00000000" w:rsidR="00000000" w:rsidRPr="00000000">
        <w:rPr>
          <w:sz w:val="20"/>
          <w:szCs w:val="20"/>
          <w:rtl w:val="0"/>
        </w:rPr>
        <w:t xml:space="preserve">t is increasingly important to recognize the value of ‘small data’. Research insights can be found at any level, including at very modest scales.</w:t>
      </w:r>
      <w:r w:rsidDel="00000000" w:rsidR="00000000" w:rsidRPr="00000000">
        <w:rPr>
          <w:color w:val="000000"/>
          <w:sz w:val="20"/>
          <w:szCs w:val="20"/>
          <w:rtl w:val="0"/>
        </w:rPr>
        <w:t xml:space="preserve">”</w:t>
      </w:r>
    </w:p>
  </w:footnote>
  <w:footnote w:id="8">
    <w:p w:rsidR="00000000" w:rsidDel="00000000" w:rsidP="00000000" w:rsidRDefault="00000000" w:rsidRPr="00000000" w14:paraId="0000004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Word Wide Web Consortium w3c: Extensible Markup Language 1.0, URL: &lt;</w:t>
      </w:r>
      <w:hyperlink r:id="rId2">
        <w:r w:rsidDel="00000000" w:rsidR="00000000" w:rsidRPr="00000000">
          <w:rPr>
            <w:color w:val="1155cc"/>
            <w:sz w:val="20"/>
            <w:szCs w:val="20"/>
            <w:u w:val="single"/>
            <w:rtl w:val="0"/>
          </w:rPr>
          <w:t xml:space="preserve">https://www.w3.org/TR/xml/</w:t>
        </w:r>
      </w:hyperlink>
      <w:r w:rsidDel="00000000" w:rsidR="00000000" w:rsidRPr="00000000">
        <w:rPr>
          <w:sz w:val="20"/>
          <w:szCs w:val="20"/>
          <w:rtl w:val="0"/>
        </w:rPr>
        <w:t xml:space="preserve">&gt;;  Text Encoding Initiative: P5: Guidelines for Electronic Text Encoding and Interchange (Version 4.3.0). URL: &lt;</w:t>
      </w:r>
      <w:hyperlink r:id="rId3">
        <w:r w:rsidDel="00000000" w:rsidR="00000000" w:rsidRPr="00000000">
          <w:rPr>
            <w:color w:val="1155cc"/>
            <w:sz w:val="20"/>
            <w:szCs w:val="20"/>
            <w:u w:val="single"/>
            <w:rtl w:val="0"/>
          </w:rPr>
          <w:t xml:space="preserve">http://www.tei-c.org</w:t>
        </w:r>
      </w:hyperlink>
      <w:r w:rsidDel="00000000" w:rsidR="00000000" w:rsidRPr="00000000">
        <w:rPr>
          <w:sz w:val="20"/>
          <w:szCs w:val="20"/>
          <w:rtl w:val="0"/>
        </w:rPr>
        <w:t xml:space="preserve">&gt;. </w:t>
      </w:r>
    </w:p>
  </w:footnote>
  <w:footnote w:id="9">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DTABf. Deutsches Textarchiv – Basisformat (2011–2020), hrsg. v. d. Berlin-Brandenburgischen Akademie der Wissenschaften. &lt;http://deutschestextarchiv.de/doku/basisformat&gt;.</w:t>
      </w:r>
    </w:p>
  </w:footnote>
  <w:footnote w:id="10">
    <w:p w:rsidR="00000000" w:rsidDel="00000000" w:rsidP="00000000" w:rsidRDefault="00000000" w:rsidRPr="00000000" w14:paraId="0000004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ediarum/ediarum.BASE.edit, Version 2.0, hrsg. v. d. Berlin-Brandenburgischen Akademie der Wissenschaften, bearbeitet von Stefan Dumont, Nadine Arndt, Sascha Grabsch und Lou Klappenbach. 2011-2022. URL: &lt;</w:t>
      </w:r>
      <w:hyperlink r:id="rId4">
        <w:r w:rsidDel="00000000" w:rsidR="00000000" w:rsidRPr="00000000">
          <w:rPr>
            <w:color w:val="1155cc"/>
            <w:sz w:val="20"/>
            <w:szCs w:val="20"/>
            <w:u w:val="single"/>
            <w:rtl w:val="0"/>
          </w:rPr>
          <w:t xml:space="preserve">https://github.com/ediarum/ediarum.BASE.edit</w:t>
        </w:r>
      </w:hyperlink>
      <w:r w:rsidDel="00000000" w:rsidR="00000000" w:rsidRPr="00000000">
        <w:rPr>
          <w:sz w:val="20"/>
          <w:szCs w:val="20"/>
          <w:rtl w:val="0"/>
        </w:rPr>
        <w:t xml:space="preserve">&gt; </w:t>
      </w:r>
    </w:p>
  </w:footnote>
  <w:footnote w:id="11">
    <w:p w:rsidR="00000000" w:rsidDel="00000000" w:rsidP="00000000" w:rsidRDefault="00000000" w:rsidRPr="00000000" w14:paraId="0000004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Distant reading</w:t>
      </w:r>
    </w:p>
  </w:footnote>
  <w:footnote w:id="12">
    <w:p w:rsidR="00000000" w:rsidDel="00000000" w:rsidP="00000000" w:rsidRDefault="00000000" w:rsidRPr="00000000" w14:paraId="0000004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https://www.dnb.de/DE/Professionell/Standardisierung/GND/gnd_node.html (zuletzt aufgerufen am 24.02.2022).</w:t>
      </w:r>
    </w:p>
  </w:footnote>
  <w:footnote w:id="13">
    <w:p w:rsidR="00000000" w:rsidDel="00000000" w:rsidP="00000000" w:rsidRDefault="00000000" w:rsidRPr="00000000" w14:paraId="0000004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https://www.geonames.org/ (zuletzt aufgerufen am 24.02.2022).</w:t>
      </w:r>
    </w:p>
  </w:footnote>
  <w:footnote w:id="14">
    <w:p w:rsidR="00000000" w:rsidDel="00000000" w:rsidP="00000000" w:rsidRDefault="00000000" w:rsidRPr="00000000" w14:paraId="0000004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https://www.iso.org/home.html (zuletzt aufgerufen am 24.02.2022).</w:t>
      </w:r>
    </w:p>
  </w:footnote>
  <w:footnote w:id="15">
    <w:p w:rsidR="00000000" w:rsidDel="00000000" w:rsidP="00000000" w:rsidRDefault="00000000" w:rsidRPr="00000000" w14:paraId="0000004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Stefan Dumont, Sascha Grabsch und Jonas Müller-Laackman (Hg.): correspSearch – Briefeditionen vernetzen (2.0.0) [Webservice]. Berlin-Brandenburgische Akademie der Wissenschaften 2021. https://correspSearch.net</w:t>
      </w:r>
    </w:p>
  </w:footnote>
  <w:footnote w:id="16">
    <w:p w:rsidR="00000000" w:rsidDel="00000000" w:rsidP="00000000" w:rsidRDefault="00000000" w:rsidRPr="00000000" w14:paraId="0000004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Beide Kategoriesysteme,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17">
    <w:p w:rsidR="00000000" w:rsidDel="00000000" w:rsidP="00000000" w:rsidRDefault="00000000" w:rsidRPr="00000000" w14:paraId="0000004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boyd und Crawford 2012, S. 670. </w:t>
      </w:r>
    </w:p>
  </w:footnote>
  <w:footnote w:id="18">
    <w:p w:rsidR="00000000" w:rsidDel="00000000" w:rsidP="00000000" w:rsidRDefault="00000000" w:rsidRPr="00000000" w14:paraId="0000005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Stieglitz und Dang-Xuan 2013, u.a. Fig. 4. Die Autoren entwickelten das Framework für Social Media Analytics im Kontext von politischer Kommunikation, wobei das Modell durch das konzeptionelle Abstraktionslevel generalisierbar für alle Formen der Datenanalyse gelten kann. </w:t>
      </w:r>
    </w:p>
  </w:footnote>
  <w:footnote w:id="1">
    <w:p w:rsidR="00000000" w:rsidDel="00000000" w:rsidP="00000000" w:rsidRDefault="00000000" w:rsidRPr="00000000" w14:paraId="0000005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Jänicke, Stefan, Franzini Greta, Cheema Muhammad Faisal, and Gerik Scheuermann: On Close and Distant Reading in Digital Humanities: A Survey and Future Challenges, Eurographics Conference on Visualization (EuroVis) - STARs 2015: </w:t>
      </w:r>
      <w:hyperlink r:id="rId5">
        <w:r w:rsidDel="00000000" w:rsidR="00000000" w:rsidRPr="00000000">
          <w:rPr>
            <w:color w:val="1155cc"/>
            <w:sz w:val="20"/>
            <w:szCs w:val="20"/>
            <w:u w:val="single"/>
            <w:rtl w:val="0"/>
          </w:rPr>
          <w:t xml:space="preserve">https://www.informatik.uni-leipzig.de/~stjaenicke/Survey.pdf</w:t>
        </w:r>
      </w:hyperlink>
      <w:r w:rsidDel="00000000" w:rsidR="00000000" w:rsidRPr="00000000">
        <w:rPr>
          <w:sz w:val="20"/>
          <w:szCs w:val="20"/>
          <w:rtl w:val="0"/>
        </w:rPr>
        <w:t xml:space="preserve"> Die digitale Literaturwissenschaft arbeiten unter dem von Franco Moretti eingeführten Schlagwort „distant reading“ bereits seit geraumer Zeit mit quantitativen Verfahren der Textanalyse, deren Anwendung im Kontext digitaler Editionen aber eher selten ist. Vgl. Franco Moretti, der ihn im Jahre 2000 in seinem Essay „Conjectures on World Literatur“ eingeführt hat. (Vgl. Moretti 2000).</w:t>
      </w:r>
    </w:p>
  </w:footnote>
  <w:footnote w:id="0">
    <w:p w:rsidR="00000000" w:rsidDel="00000000" w:rsidP="00000000" w:rsidRDefault="00000000" w:rsidRPr="00000000" w14:paraId="0000005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danah boyd &amp; Kate Crawford: Critical Questionas for Big Data, in: Information, Communication &amp; Society 15:5 (2012), S. 662-679, S. 663. DOI: 10.1080/1369118X.2012.678878. Gleiches gilt für das Methodenset der </w:t>
      </w:r>
      <w:r w:rsidDel="00000000" w:rsidR="00000000" w:rsidRPr="00000000">
        <w:rPr>
          <w:i w:val="1"/>
          <w:sz w:val="20"/>
          <w:szCs w:val="20"/>
          <w:rtl w:val="0"/>
        </w:rPr>
        <w:t xml:space="preserve">Social Media Analytics</w:t>
      </w:r>
      <w:r w:rsidDel="00000000" w:rsidR="00000000" w:rsidRPr="00000000">
        <w:rPr>
          <w:sz w:val="20"/>
          <w:szCs w:val="20"/>
          <w:rtl w:val="0"/>
        </w:rPr>
        <w:t xml:space="preserve">, mit dem u.a. politische Akteure und Unternehmen kontinuierlich Informationen aus sozialen Medien sammeln, überwachen, analysieren und visualisieren, um das Verhalten potentieller Wähler oder Kunden zu prognostizieren und zu steuern. Stieglitz, S., Dang-Xuan, L. Social media and political communication: a social media analytics framework. </w:t>
      </w:r>
      <w:r w:rsidDel="00000000" w:rsidR="00000000" w:rsidRPr="00000000">
        <w:rPr>
          <w:i w:val="1"/>
          <w:sz w:val="20"/>
          <w:szCs w:val="20"/>
          <w:rtl w:val="0"/>
        </w:rPr>
        <w:t xml:space="preserve">Soc. Netw. Anal. Min.</w:t>
      </w:r>
      <w:r w:rsidDel="00000000" w:rsidR="00000000" w:rsidRPr="00000000">
        <w:rPr>
          <w:sz w:val="20"/>
          <w:szCs w:val="20"/>
          <w:rtl w:val="0"/>
        </w:rPr>
        <w:t xml:space="preserve"> </w:t>
      </w:r>
      <w:r w:rsidDel="00000000" w:rsidR="00000000" w:rsidRPr="00000000">
        <w:rPr>
          <w:b w:val="1"/>
          <w:sz w:val="20"/>
          <w:szCs w:val="20"/>
          <w:rtl w:val="0"/>
        </w:rPr>
        <w:t xml:space="preserve">3, </w:t>
      </w:r>
      <w:r w:rsidDel="00000000" w:rsidR="00000000" w:rsidRPr="00000000">
        <w:rPr>
          <w:sz w:val="20"/>
          <w:szCs w:val="20"/>
          <w:rtl w:val="0"/>
        </w:rPr>
        <w:t xml:space="preserve">1277–1291 (2013). https://doi.org/10.1007/s13278-012-0079-3 S. 1277.</w:t>
      </w:r>
    </w:p>
  </w:footnote>
  <w:footnote w:id="2">
    <w:p w:rsidR="00000000" w:rsidDel="00000000" w:rsidP="00000000" w:rsidRDefault="00000000" w:rsidRPr="00000000" w14:paraId="0000005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Wenn man die ebenfalls digital publizierten Briefe von Jean Paul hinzu rechnet dann ist auf der Editionsplattform mit derzeit 6682 Briefen eines der umfangreichsten edierten Korrespondenzkorpora der Zeit um 1800 digital verfügbar. Siehe Briefe aus Jean Pauls Umfeld. Herausgegeben an der Berlin-Brandenburgischen Akademie der Wissenschaften von Selma Jahnke und Michael Rölcke (2020–2022), in: Jean Paul - Sämtliche Briefe digital. Herausgegeben im Auftrag der Berlin-Brandenburgischen Akademie der Wissenschaften von Markus Bernauer, Norbert Miller und Frederike Neuber (2018–2020). URL: </w:t>
      </w:r>
      <w:hyperlink r:id="rId6">
        <w:r w:rsidDel="00000000" w:rsidR="00000000" w:rsidRPr="00000000">
          <w:rPr>
            <w:color w:val="0563c1"/>
            <w:sz w:val="20"/>
            <w:szCs w:val="20"/>
            <w:u w:val="single"/>
            <w:rtl w:val="0"/>
          </w:rPr>
          <w:t xml:space="preserve">http://jeanpaul-edition.de</w:t>
        </w:r>
      </w:hyperlink>
      <w:r w:rsidDel="00000000" w:rsidR="00000000" w:rsidRPr="00000000">
        <w:rPr>
          <w:sz w:val="20"/>
          <w:szCs w:val="20"/>
          <w:rtl w:val="0"/>
        </w:rPr>
        <w:t xml:space="preserve">. Für die Datensätze der Edition siehe telota/jean_paul_briefe: Daten der Briefe von Jean Paul und der Briefe aus seinem Umfeld (v.5.0). Zenodo. https://doi.org/10.5281/zenodo.6322839</w:t>
      </w:r>
    </w:p>
  </w:footnote>
  <w:footnote w:id="4">
    <w:p w:rsidR="00000000" w:rsidDel="00000000" w:rsidP="00000000" w:rsidRDefault="00000000" w:rsidRPr="00000000" w14:paraId="0000005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Freilich gibt es weitere Parallelen zwischen digitalen und epistolaren Netzwerken, die jedoch im Kontext dieses Beitrags nur marginal relevant sind, darunter multipolare Korrespondenzstrukturen, d.h. Nachrichten von und an mehrere Personen, sowie die Entgrenzung von Privatheit und Öffentlichkeit.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de-DE"/>
      </w:rPr>
    </w:rPrDefault>
    <w:pPrDefault>
      <w:pPr>
        <w:widowControl w:val="0"/>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6"/>
      <w:szCs w:val="36"/>
    </w:rPr>
  </w:style>
  <w:style w:type="paragraph" w:styleId="Heading2">
    <w:name w:val="heading 2"/>
    <w:basedOn w:val="Normal"/>
    <w:next w:val="Normal"/>
    <w:pPr>
      <w:keepNext w:val="1"/>
      <w:keepLines w:val="1"/>
      <w:spacing w:after="80" w:before="360" w:lineRule="auto"/>
    </w:pPr>
    <w:rPr>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left"/>
    </w:pPr>
    <w:rPr>
      <w:b w:val="1"/>
      <w:sz w:val="36"/>
      <w:szCs w:val="36"/>
    </w:rPr>
  </w:style>
  <w:style w:type="paragraph" w:styleId="Standard" w:default="1">
    <w:name w:val="Normal"/>
    <w:qFormat w:val="1"/>
    <w:rsid w:val="00BC5041"/>
  </w:style>
  <w:style w:type="paragraph" w:styleId="berschrift1">
    <w:name w:val="heading 1"/>
    <w:basedOn w:val="Standard"/>
    <w:next w:val="Standard"/>
    <w:link w:val="berschrift1Zchn"/>
    <w:uiPriority w:val="9"/>
    <w:qFormat w:val="1"/>
    <w:rsid w:val="0023298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pPr>
      <w:keepNext w:val="1"/>
      <w:keepLines w:val="1"/>
      <w:spacing w:after="80" w:before="360"/>
      <w:outlineLvl w:val="1"/>
    </w:pPr>
    <w:rPr>
      <w:b w:val="1"/>
      <w:sz w:val="36"/>
      <w:szCs w:val="36"/>
    </w:rPr>
  </w:style>
  <w:style w:type="paragraph" w:styleId="berschrift3">
    <w:name w:val="heading 3"/>
    <w:basedOn w:val="Standard"/>
    <w:next w:val="Standard"/>
    <w:pPr>
      <w:keepNext w:val="1"/>
      <w:keepLines w:val="1"/>
      <w:spacing w:after="80" w:before="280"/>
      <w:outlineLvl w:val="2"/>
    </w:pPr>
    <w:rPr>
      <w:b w:val="1"/>
      <w:sz w:val="28"/>
      <w:szCs w:val="28"/>
    </w:rPr>
  </w:style>
  <w:style w:type="paragraph" w:styleId="berschrift4">
    <w:name w:val="heading 4"/>
    <w:basedOn w:val="Standard"/>
    <w:next w:val="Standard"/>
    <w:pPr>
      <w:keepNext w:val="1"/>
      <w:keepLines w:val="1"/>
      <w:spacing w:after="40" w:before="240"/>
      <w:outlineLvl w:val="3"/>
    </w:pPr>
    <w:rPr>
      <w:b w:val="1"/>
    </w:rPr>
  </w:style>
  <w:style w:type="paragraph" w:styleId="berschrift5">
    <w:name w:val="heading 5"/>
    <w:basedOn w:val="Standard"/>
    <w:next w:val="Standard"/>
    <w:pPr>
      <w:keepNext w:val="1"/>
      <w:keepLines w:val="1"/>
      <w:spacing w:after="40" w:before="220"/>
      <w:outlineLvl w:val="4"/>
    </w:pPr>
    <w:rPr>
      <w:b w:val="1"/>
      <w:sz w:val="22"/>
      <w:szCs w:val="22"/>
    </w:rPr>
  </w:style>
  <w:style w:type="paragraph" w:styleId="berschrift6">
    <w:name w:val="heading 6"/>
    <w:basedOn w:val="Standard"/>
    <w:next w:val="Standard"/>
    <w:pPr>
      <w:keepNext w:val="1"/>
      <w:keepLines w:val="1"/>
      <w:spacing w:after="40" w:before="200"/>
      <w:outlineLvl w:val="5"/>
    </w:pPr>
    <w:rPr>
      <w:b w:val="1"/>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pPr>
      <w:keepNext w:val="1"/>
      <w:keepLines w:val="1"/>
      <w:spacing w:after="120" w:before="480"/>
      <w:jc w:val="left"/>
    </w:pPr>
    <w:rPr>
      <w:sz w:val="42"/>
      <w:szCs w:val="42"/>
    </w:rPr>
  </w:style>
  <w:style w:type="table" w:styleId="TableNormal0"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655CC6"/>
    <w:pPr>
      <w:widowControl w:val="1"/>
      <w:spacing w:after="0" w:line="240" w:lineRule="auto"/>
      <w:ind w:left="720"/>
      <w:contextualSpacing w:val="1"/>
    </w:pPr>
    <w:rPr>
      <w:rFonts w:ascii="Times New Roman" w:cs="Times New Roman" w:eastAsia="Times New Roman" w:hAnsi="Times New Roman"/>
    </w:rPr>
  </w:style>
  <w:style w:type="character" w:styleId="berschrift1Zchn" w:customStyle="1">
    <w:name w:val="Überschrift 1 Zchn"/>
    <w:basedOn w:val="Absatz-Standardschriftart"/>
    <w:link w:val="berschrift1"/>
    <w:uiPriority w:val="9"/>
    <w:rsid w:val="00232984"/>
    <w:rPr>
      <w:rFonts w:asciiTheme="majorHAnsi" w:cstheme="majorBidi" w:eastAsiaTheme="majorEastAsia" w:hAnsiTheme="majorHAnsi"/>
      <w:color w:val="2e74b5" w:themeColor="accent1" w:themeShade="0000BF"/>
      <w:sz w:val="32"/>
      <w:szCs w:val="32"/>
    </w:rPr>
  </w:style>
  <w:style w:type="character" w:styleId="Hyperlink">
    <w:name w:val="Hyperlink"/>
    <w:basedOn w:val="Absatz-Standardschriftart"/>
    <w:uiPriority w:val="99"/>
    <w:unhideWhenUsed w:val="1"/>
    <w:rsid w:val="003303D3"/>
    <w:rPr>
      <w:color w:val="0563c1" w:themeColor="hyperlink"/>
      <w:u w:val="single"/>
    </w:rPr>
  </w:style>
  <w:style w:type="paragraph" w:styleId="StandardWeb">
    <w:name w:val="Normal (Web)"/>
    <w:basedOn w:val="Standard"/>
    <w:uiPriority w:val="99"/>
    <w:semiHidden w:val="1"/>
    <w:unhideWhenUsed w:val="1"/>
    <w:rsid w:val="00CF606A"/>
    <w:pPr>
      <w:widowControl w:val="1"/>
      <w:spacing w:after="100" w:afterAutospacing="1" w:before="100" w:beforeAutospacing="1" w:line="240" w:lineRule="auto"/>
    </w:pPr>
    <w:rPr>
      <w:rFonts w:ascii="Times New Roman" w:cs="Times New Roman" w:eastAsia="Times New Roman" w:hAnsi="Times New Roman"/>
    </w:rPr>
  </w:style>
  <w:style w:type="paragraph" w:styleId="Untertitel">
    <w:name w:val="Subtitle"/>
    <w:basedOn w:val="Standard"/>
    <w:next w:val="Standard"/>
    <w:pPr>
      <w:keepNext w:val="1"/>
      <w:keepLines w:val="1"/>
      <w:spacing w:after="80" w:before="360"/>
    </w:pPr>
    <w:rPr>
      <w:rFonts w:ascii="Georgia" w:cs="Georgia" w:eastAsia="Georgia" w:hAnsi="Georgia"/>
      <w:i w:val="1"/>
      <w:color w:val="666666"/>
      <w:sz w:val="48"/>
      <w:szCs w:val="48"/>
    </w:rPr>
  </w:style>
  <w:style w:type="paragraph" w:styleId="Funotentext">
    <w:name w:val="footnote text"/>
    <w:basedOn w:val="Standard"/>
    <w:link w:val="FunotentextZchn"/>
    <w:uiPriority w:val="99"/>
    <w:semiHidden w:val="1"/>
    <w:unhideWhenUsed w:val="1"/>
    <w:rsid w:val="000A7B2D"/>
    <w:pPr>
      <w:spacing w:after="0" w:line="240" w:lineRule="auto"/>
    </w:pPr>
    <w:rPr>
      <w:sz w:val="20"/>
      <w:szCs w:val="20"/>
    </w:rPr>
  </w:style>
  <w:style w:type="character" w:styleId="FunotentextZchn" w:customStyle="1">
    <w:name w:val="Fußnotentext Zchn"/>
    <w:basedOn w:val="Absatz-Standardschriftart"/>
    <w:link w:val="Funotentext"/>
    <w:uiPriority w:val="99"/>
    <w:semiHidden w:val="1"/>
    <w:rsid w:val="000A7B2D"/>
    <w:rPr>
      <w:sz w:val="20"/>
      <w:szCs w:val="20"/>
    </w:rPr>
  </w:style>
  <w:style w:type="character" w:styleId="Funotenzeichen">
    <w:name w:val="footnote reference"/>
    <w:basedOn w:val="Absatz-Standardschriftart"/>
    <w:uiPriority w:val="99"/>
    <w:semiHidden w:val="1"/>
    <w:unhideWhenUsed w:val="1"/>
    <w:rsid w:val="000A7B2D"/>
    <w:rPr>
      <w:vertAlign w:val="superscript"/>
    </w:rPr>
  </w:style>
  <w:style w:type="character" w:styleId="Kommentarzeichen">
    <w:name w:val="annotation reference"/>
    <w:basedOn w:val="Absatz-Standardschriftart"/>
    <w:uiPriority w:val="99"/>
    <w:semiHidden w:val="1"/>
    <w:unhideWhenUsed w:val="1"/>
    <w:rsid w:val="00E04DC6"/>
    <w:rPr>
      <w:sz w:val="16"/>
      <w:szCs w:val="16"/>
    </w:rPr>
  </w:style>
  <w:style w:type="paragraph" w:styleId="Kommentartext">
    <w:name w:val="annotation text"/>
    <w:basedOn w:val="Standard"/>
    <w:link w:val="KommentartextZchn"/>
    <w:uiPriority w:val="99"/>
    <w:semiHidden w:val="1"/>
    <w:unhideWhenUsed w:val="1"/>
    <w:rsid w:val="00E04DC6"/>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E04DC6"/>
    <w:rPr>
      <w:sz w:val="20"/>
      <w:szCs w:val="20"/>
    </w:rPr>
  </w:style>
  <w:style w:type="paragraph" w:styleId="Kommentarthema">
    <w:name w:val="annotation subject"/>
    <w:basedOn w:val="Kommentartext"/>
    <w:next w:val="Kommentartext"/>
    <w:link w:val="KommentarthemaZchn"/>
    <w:uiPriority w:val="99"/>
    <w:semiHidden w:val="1"/>
    <w:unhideWhenUsed w:val="1"/>
    <w:rsid w:val="00E04DC6"/>
    <w:rPr>
      <w:b w:val="1"/>
      <w:bCs w:val="1"/>
    </w:rPr>
  </w:style>
  <w:style w:type="character" w:styleId="KommentarthemaZchn" w:customStyle="1">
    <w:name w:val="Kommentarthema Zchn"/>
    <w:basedOn w:val="KommentartextZchn"/>
    <w:link w:val="Kommentarthema"/>
    <w:uiPriority w:val="99"/>
    <w:semiHidden w:val="1"/>
    <w:rsid w:val="00E04DC6"/>
    <w:rPr>
      <w:b w:val="1"/>
      <w:bCs w:val="1"/>
      <w:sz w:val="20"/>
      <w:szCs w:val="20"/>
    </w:rPr>
  </w:style>
  <w:style w:type="paragraph" w:styleId="Sprechblasentext">
    <w:name w:val="Balloon Text"/>
    <w:basedOn w:val="Standard"/>
    <w:link w:val="SprechblasentextZchn"/>
    <w:uiPriority w:val="99"/>
    <w:semiHidden w:val="1"/>
    <w:unhideWhenUsed w:val="1"/>
    <w:rsid w:val="00E04DC6"/>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E04DC6"/>
    <w:rPr>
      <w:rFonts w:ascii="Segoe UI" w:cs="Segoe UI" w:hAnsi="Segoe UI"/>
      <w:sz w:val="18"/>
      <w:szCs w:val="18"/>
    </w:rPr>
  </w:style>
  <w:style w:type="character" w:styleId="Hervorhebung">
    <w:name w:val="Emphasis"/>
    <w:basedOn w:val="Absatz-Standardschriftart"/>
    <w:uiPriority w:val="20"/>
    <w:qFormat w:val="1"/>
    <w:rsid w:val="00873C2A"/>
    <w:rPr>
      <w:i w:val="1"/>
      <w:iCs w:val="1"/>
    </w:rPr>
  </w:style>
  <w:style w:type="paragraph" w:styleId="KeinLeerraum">
    <w:name w:val="No Spacing"/>
    <w:uiPriority w:val="1"/>
    <w:qFormat w:val="1"/>
    <w:rsid w:val="00376BDE"/>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journalofdigitalhumanities.org/2-3/big-smart-clean-messy-data-in-the-humanities/" TargetMode="External"/><Relationship Id="rId2" Type="http://schemas.openxmlformats.org/officeDocument/2006/relationships/hyperlink" Target="https://www.w3.org/TR/xml/" TargetMode="External"/><Relationship Id="rId3" Type="http://schemas.openxmlformats.org/officeDocument/2006/relationships/hyperlink" Target="http://www.tei-c.org" TargetMode="External"/><Relationship Id="rId4" Type="http://schemas.openxmlformats.org/officeDocument/2006/relationships/hyperlink" Target="https://github.com/ediarum/ediarum.BASE.edit" TargetMode="External"/><Relationship Id="rId5" Type="http://schemas.openxmlformats.org/officeDocument/2006/relationships/hyperlink" Target="https://www.informatik.uni-leipzig.de/~stjaenicke/Survey.pdf" TargetMode="External"/><Relationship Id="rId6" Type="http://schemas.openxmlformats.org/officeDocument/2006/relationships/hyperlink" Target="http://jeanpaul-edition.de/brief.html?num=VI_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2022-05-24T17:12:00Z</dcterms:created>
  <dc:creator>Dr. Frederike Neuber</dc:creator>
</cp:coreProperties>
</file>