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07A20"/>
          <w:spacing w:val="30"/>
          <w:sz w:val="18"/>
          <w:szCs w:val="18"/>
        </w:rPr>
        <w:t xml:space="preserve">COMMUNICATION NONVIOLENTE · VALIDATION DE CORPUS</w:t>
      </w:r>
    </w:p>
    <w:p>
      <w:pPr>
        <w:spacing w:after="40"/>
      </w:pPr>
      <w:r>
        <w:rPr>
          <w:b/>
          <w:bCs/>
          <w:color w:val="1F3A4D"/>
          <w:sz w:val="48"/>
          <w:szCs w:val="48"/>
        </w:rPr>
        <w:t xml:space="preserve">Au juste mot</w:t>
      </w:r>
    </w:p>
    <w:p>
      <w:pPr>
        <w:spacing w:after="200"/>
      </w:pPr>
      <w:r>
        <w:rPr>
          <w:color w:val="555555"/>
          <w:sz w:val="24"/>
          <w:szCs w:val="24"/>
        </w:rPr>
        <w:t xml:space="preserve">Validation croisée du corpus émotionnel avec les listes de référence reconnues</w:t>
      </w:r>
    </w:p>
    <w:p>
      <w:pPr>
        <w:spacing w:after="120" w:before="0"/>
      </w:pPr>
      <w:r>
        <w:rPr>
          <w:b/>
          <w:bCs/>
        </w:rPr>
        <w:t xml:space="preserve">En bref. </w:t>
      </w:r>
      <w:r>
        <w:t xml:space="preserve">Le vocabulaire de l'application (issu de la grille Dialogo) a été comparé à </w:t>
      </w:r>
      <w:r>
        <w:rPr>
          <w:b/>
          <w:bCs/>
        </w:rPr>
        <w:t xml:space="preserve">quatre références</w:t>
      </w:r>
      <w:r>
        <w:t xml:space="preserve">, dont </w:t>
      </w:r>
      <w:r>
        <w:rPr>
          <w:b/>
          <w:bCs/>
        </w:rPr>
        <w:t xml:space="preserve">deux pôles francophones indépendants</w:t>
      </w:r>
      <w:r>
        <w:t xml:space="preserve"> : la liste québécoise </w:t>
      </w:r>
      <w:r>
        <w:rPr>
          <w:b/>
          <w:bCs/>
        </w:rPr>
        <w:t xml:space="preserve">Spiralis</w:t>
      </w:r>
      <w:r>
        <w:t xml:space="preserve"> et la liste française </w:t>
      </w:r>
      <w:r>
        <w:rPr>
          <w:b/>
          <w:bCs/>
        </w:rPr>
        <w:t xml:space="preserve">Présent à l'instant</w:t>
      </w:r>
      <w:r>
        <w:t xml:space="preserve"> (Laurence Vie et Filipé Elias). S'y ajoutent l'inventaire officiel du </w:t>
      </w:r>
      <w:r>
        <w:rPr>
          <w:b/>
          <w:bCs/>
        </w:rPr>
        <w:t xml:space="preserve">CNVC</w:t>
      </w:r>
      <w:r>
        <w:t xml:space="preserve"> (centre fondé par Marshall Rosenberg, anglais) et la table « faux-sentiments » de l'</w:t>
      </w:r>
      <w:r>
        <w:rPr>
          <w:b/>
          <w:bCs/>
        </w:rPr>
        <w:t xml:space="preserve">Université du Maryland</w:t>
      </w:r>
      <w:r>
        <w:t xml:space="preserve">. Conclusion : le corpus est </w:t>
      </w:r>
      <w:r>
        <w:rPr>
          <w:b/>
          <w:bCs/>
        </w:rPr>
        <w:t xml:space="preserve">solide et largement corroboré</w:t>
      </w:r>
      <w:r>
        <w:t xml:space="preserve">. Sa structure en familles est conforme à la tradition CNV — les deux listes françaises organisent elles aussi les sentiments par familles — et le récent renommage « Détachement émotionnel » colle au CNVC, qui nomme précisément cette famille « DISCONNECTED ». Quelques pistes d'enrichissement et un point de fond (honte / culpabilité) sont détaillés ci-dessous.</w:t>
      </w:r>
    </w:p>
    <w:p>
      <w:pPr>
        <w:pStyle w:val="Heading1"/>
      </w:pPr>
      <w:r>
        <w:t xml:space="preserve">1. Méthode et sources</w:t>
      </w:r>
    </w:p>
    <w:p>
      <w:pPr>
        <w:spacing w:after="120" w:before="0"/>
      </w:pPr>
      <w:r>
        <w:t xml:space="preserve">La comparaison a porté sur les trois volets du corpus : les mots de sentiments (12 familles), les 52 faux-sentiments et les besoins. Le rapprochement a été fait mot à mot en français entre l'app et les deux listes francophones (après normalisation des accords et de l'écriture inclusive), et de façon structurelle, au niveau des familles, avec le CNVC et la table de l'Université du Maryland en anglais.</w:t>
      </w:r>
    </w:p>
    <w:p>
      <w:pPr>
        <w:pStyle w:val="ListParagraph"/>
        <w:numPr>
          <w:ilvl w:val="0"/>
          <w:numId w:val="2"/>
        </w:numPr>
        <w:spacing w:after="80"/>
      </w:pPr>
      <w:r>
        <w:rPr>
          <w:b/>
          <w:bCs/>
        </w:rPr>
        <w:t xml:space="preserve">Spiralis</w:t>
      </w:r>
      <w:r>
        <w:t xml:space="preserve"> (Québec) — « Liste des sentiments et besoins en CNV » (</w:t>
      </w:r>
      <w:hyperlink w:history="1" r:id="rIdh25en01uzl_v4snmxgysx">
        <w:r>
          <w:rPr>
            <w:rStyle w:val="Hyperlink"/>
          </w:rPr>
          <w:t xml:space="preserve">spiralis.ca</w:t>
        </w:r>
      </w:hyperlink>
      <w:r>
        <w:t xml:space="preserve">), en écriture inclusive et organisée par familles.</w:t>
      </w:r>
    </w:p>
    <w:p>
      <w:pPr>
        <w:pStyle w:val="ListParagraph"/>
        <w:numPr>
          <w:ilvl w:val="0"/>
          <w:numId w:val="2"/>
        </w:numPr>
        <w:spacing w:after="80"/>
      </w:pPr>
      <w:r>
        <w:rPr>
          <w:b/>
          <w:bCs/>
        </w:rPr>
        <w:t xml:space="preserve">Présent à l'instant</w:t>
      </w:r>
      <w:r>
        <w:t xml:space="preserve"> (France) — « Principes de base de la CNV, éléments de langage » (</w:t>
      </w:r>
      <w:hyperlink w:history="1" r:id="rIdq_cbu1rc97wykdomqhw7s">
        <w:r>
          <w:rPr>
            <w:rStyle w:val="Hyperlink"/>
          </w:rPr>
          <w:t xml:space="preserve">presentalinstant.fr</w:t>
        </w:r>
      </w:hyperlink>
      <w:r>
        <w:t xml:space="preserve">), sentiments confortables / inconfortables, besoins et jugements masqués.</w:t>
      </w:r>
    </w:p>
    <w:p>
      <w:pPr>
        <w:pStyle w:val="ListParagraph"/>
        <w:numPr>
          <w:ilvl w:val="0"/>
          <w:numId w:val="2"/>
        </w:numPr>
        <w:spacing w:after="80"/>
      </w:pPr>
      <w:r>
        <w:rPr>
          <w:b/>
          <w:bCs/>
        </w:rPr>
        <w:t xml:space="preserve">CNVC</w:t>
      </w:r>
      <w:r>
        <w:t xml:space="preserve"> — Center for Nonviolent Communication, « Feelings &amp; Needs Inventory » (© 2005, duplication autorisée avec attribution) et feuillet « Non-Feelings », qui distingue les jugements portés sur soi.</w:t>
      </w:r>
    </w:p>
    <w:p>
      <w:pPr>
        <w:pStyle w:val="ListParagraph"/>
        <w:numPr>
          <w:ilvl w:val="0"/>
          <w:numId w:val="2"/>
        </w:numPr>
        <w:spacing w:after="80"/>
      </w:pPr>
      <w:r>
        <w:rPr>
          <w:b/>
          <w:bCs/>
        </w:rPr>
        <w:t xml:space="preserve">Université du Maryland</w:t>
      </w:r>
      <w:r>
        <w:t xml:space="preserve"> — « Faux Feelings and Underlying Needs » (table mot → sentiment → besoin), d'après Natalie Bybee Coaching.</w:t>
      </w:r>
    </w:p>
    <w:p>
      <w:pPr>
        <w:spacing w:after="120" w:before="60"/>
      </w:pPr>
      <w:r>
        <w:rPr>
          <w:b/>
          <w:bCs/>
        </w:rPr>
        <w:t xml:space="preserve">Pourquoi deux listes françaises. </w:t>
      </w:r>
      <w:r>
        <w:t xml:space="preserve">Une seule liste de référence reflète les choix d'une seule école. En croisant un pôle québécois et un pôle français </w:t>
      </w:r>
      <w:r>
        <w:rPr>
          <w:b/>
          <w:bCs/>
        </w:rPr>
        <w:t xml:space="preserve">indépendants</w:t>
      </w:r>
      <w:r>
        <w:t xml:space="preserve">, on distingue ce qui fait consensus de ce qui est une particularité régionale. Un mot reconnu des deux côtés de l'Atlantique est solidement attesté.</w:t>
      </w:r>
    </w:p>
    <w:p>
      <w:pPr>
        <w:spacing w:after="120" w:before="0"/>
      </w:pPr>
      <w:r>
        <w:rPr>
          <w:b/>
          <w:bCs/>
        </w:rPr>
        <w:t xml:space="preserve">Portée et limites. </w:t>
      </w:r>
      <w:r>
        <w:t xml:space="preserve">Il n'existe pas de liste « canonique » unique en CNV : chaque école propose des variantes. Ce rapport n'établit donc pas une vérité, mais une </w:t>
      </w:r>
      <w:r>
        <w:rPr>
          <w:b/>
          <w:bCs/>
        </w:rPr>
        <w:t xml:space="preserve">carte des consensus et des écarts</w:t>
      </w:r>
      <w:r>
        <w:t xml:space="preserve">. Les arbitrages finaux gagnent à être validés par une personne formée en CNV.</w:t>
      </w:r>
    </w:p>
    <w:p>
      <w:pPr>
        <w:pStyle w:val="Heading1"/>
      </w:pPr>
      <w:r>
        <w:t xml:space="preserve">2. Structure des familles</w:t>
      </w:r>
    </w:p>
    <w:p>
      <w:pPr>
        <w:spacing w:after="120" w:before="0"/>
      </w:pPr>
      <w:r>
        <w:t xml:space="preserve">L'app range les sentiments en 12 familles. C'est la même logique que Spiralis et que les catégories en majuscules du CNVC ; la liste française recoupe également ces familles (Amour, Joie, Intérêt, Gaieté, Sérénité du côté comblé ; Tristesse, Peur, Colère, Confusion, Fatigue, Dégoût du côté non comblé). Le tableau aligne l'app, le CNVC et Spiralis. Les lignes </w:t>
      </w:r>
      <w:r>
        <w:rPr>
          <w:b/>
          <w:bCs/>
        </w:rPr>
        <w:t xml:space="preserve">surlignées</w:t>
      </w:r>
      <w:r>
        <w:t xml:space="preserve"> signalent une catégorie présente dans une référence mais </w:t>
      </w:r>
      <w:r>
        <w:rPr>
          <w:b/>
          <w:bCs/>
        </w:rPr>
        <w:t xml:space="preserve">sans famille dédiée dans l'app</w:t>
      </w:r>
      <w:r>
        <w:t xml:space="preserve"> — autrement dit, des pistes d'enrichissement.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450"/>
        <w:gridCol w:w="2860"/>
        <w:gridCol w:w="2600"/>
      </w:tblGrid>
      <w:tr>
        <w:trPr>
          <w:tblHeader/>
        </w:trPr>
        <w:tc>
          <w:tcPr>
            <w:tcW w:type="dxa" w:w="245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Famille (app)</w:t>
            </w:r>
          </w:p>
        </w:tc>
        <w:tc>
          <w:tcPr>
            <w:tcW w:type="dxa" w:w="145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Valence</w:t>
            </w:r>
          </w:p>
        </w:tc>
        <w:tc>
          <w:tcPr>
            <w:tcW w:type="dxa" w:w="286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Catégorie CNVC (EN)</w:t>
            </w:r>
          </w:p>
        </w:tc>
        <w:tc>
          <w:tcPr>
            <w:tcW w:type="dxa" w:w="26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Famille Spiralis (FR-QC)</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Joie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JOYFUL / EXHILARATED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CONTENT·E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Enjoué</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ENGAGED / EXCITED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ENJOUÉ·E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Tranquillité</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PEACEFUL / REFRESHED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SEREIN·E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Engagé</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ENGAGED / INSPIRED / HOPEFUL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ENJOUÉ·E (proche)</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AFFECTIONATE</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AIMANT·E</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GRATEFUL</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 (dispersé)</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Triste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SAD / PAIN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TRISTE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Peur</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AFRAID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APEURÉ·E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Colère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ANGRY / ANNOYED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FÂCHÉ·E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Confuse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CONFUSED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MÊLÉ·E (fusionne Confuse+Surprise)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Détachement émotionnel</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DISCONNECTED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 (dispersé dans FATIGUÉ·E)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Dégoûtée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AVERSION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 (dans FÂCHÉ·E)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Fatiguée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FATIGUE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FATIGUÉ·E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i w:val="false"/>
                <w:iCs w:val="false"/>
                <w:color w:val="000000"/>
              </w:rPr>
              <w:t xml:space="preserve">Surprise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DISQUIET (en partie)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MÊLÉ·E</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TENSE</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 (dispersé)</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VULNERABLE</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 (dispersé)</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YEARNING (envie/jalousie)</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Jaloux·se dans FÂCHÉ·E</w:t>
            </w:r>
          </w:p>
        </w:tc>
      </w:tr>
      <w:tr>
        <w:tc>
          <w:tcPr>
            <w:tcW w:type="dxa" w:w="2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rPr>
                <w:b w:val="false"/>
                <w:bCs w:val="false"/>
                <w:i/>
                <w:iCs/>
                <w:color w:val="A6553B"/>
              </w:rPr>
              <w:t xml:space="preserve">— (aucune)</w:t>
            </w:r>
          </w:p>
        </w:tc>
        <w:tc>
          <w:tcPr>
            <w:tcW w:type="dxa" w:w="145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non comblé</w:t>
            </w:r>
          </w:p>
        </w:tc>
        <w:tc>
          <w:tcPr>
            <w:tcW w:type="dxa" w:w="286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EMBARRASSED (honte/culpabilité)</w:t>
            </w:r>
          </w:p>
        </w:tc>
        <w:tc>
          <w:tcPr>
            <w:tcW w:type="dxa" w:w="2600"/>
            <w:tcBorders>
              <w:top w:val="single" w:color="CCCCCC" w:sz="1"/>
              <w:left w:val="single" w:color="CCCCCC" w:sz="1"/>
              <w:bottom w:val="single" w:color="CCCCCC" w:sz="1"/>
              <w:right w:val="single" w:color="CCCCCC" w:sz="1"/>
            </w:tcBorders>
            <w:shd w:fill="F3E3D3" w:val="clear"/>
            <w:tcMar>
              <w:top w:type="dxa" w:w="60"/>
              <w:left w:type="dxa" w:w="110"/>
              <w:bottom w:type="dxa" w:w="60"/>
              <w:right w:type="dxa" w:w="110"/>
            </w:tcMar>
          </w:tcPr>
          <w:p>
            <w:r>
              <w:t xml:space="preserve">Honteux·se*/Coupable* (marqués faux)</w:t>
            </w:r>
          </w:p>
        </w:tc>
      </w:tr>
    </w:tbl>
    <w:p>
      <w:pPr>
        <w:spacing w:after="120" w:before="80"/>
      </w:pPr>
      <w:r>
        <w:rPr>
          <w:b/>
          <w:bCs/>
        </w:rPr>
        <w:t xml:space="preserve">Lecture. </w:t>
      </w:r>
      <w:r>
        <w:t xml:space="preserve">L'app suit la granularité fine du CNVC (familles distinctes « Détachement »/DISCONNECTED et « Dégoûtée »/AVERSION), là où Spiralis fusionne davantage. Les deux approches sont reconnues ; celle de l'app est simplement plus nuancée. Les manques notables : une famille </w:t>
      </w:r>
      <w:r>
        <w:rPr>
          <w:b/>
          <w:bCs/>
        </w:rPr>
        <w:t xml:space="preserve">Affection / Aimante</w:t>
      </w:r>
      <w:r>
        <w:t xml:space="preserve"> (présente dans les trois références), et les zones </w:t>
      </w:r>
      <w:r>
        <w:rPr>
          <w:b/>
          <w:bCs/>
        </w:rPr>
        <w:t xml:space="preserve">envie / jalousie</w:t>
      </w:r>
      <w:r>
        <w:t xml:space="preserve"> (CNVC : YEARNING) et </w:t>
      </w:r>
      <w:r>
        <w:rPr>
          <w:b/>
          <w:bCs/>
        </w:rPr>
        <w:t xml:space="preserve">honte / embarras</w:t>
      </w:r>
      <w:r>
        <w:t xml:space="preserve"> (CNVC : EMBARRASSED).</w:t>
      </w:r>
    </w:p>
    <w:p>
      <w:pPr>
        <w:pStyle w:val="Heading1"/>
      </w:pPr>
      <w:r>
        <w:t xml:space="preserve">3. Sentiments — robustesse</w:t>
      </w:r>
    </w:p>
    <w:p>
      <w:pPr>
        <w:spacing w:after="120" w:before="0"/>
      </w:pPr>
      <w:r>
        <w:t xml:space="preserve">Sur les 267 mots de sentiments de l'app, on peut mesurer la </w:t>
      </w:r>
      <w:r>
        <w:rPr>
          <w:b/>
          <w:bCs/>
        </w:rPr>
        <w:t xml:space="preserve">robustesse</w:t>
      </w:r>
      <w:r>
        <w:t xml:space="preserve"> de chacun : est-il attesté dans aucune, l'une ou les deux listes francophones de référence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Niveau de corroboration</w:t>
            </w:r>
          </w:p>
        </w:tc>
        <w:tc>
          <w:tcPr>
            <w:tcW w:type="dxa" w:w="12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Mots</w:t>
            </w:r>
          </w:p>
        </w:tc>
        <w:tc>
          <w:tcPr>
            <w:tcW w:type="dxa" w:w="516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Interprétation</w:t>
            </w:r>
          </w:p>
        </w:tc>
      </w:tr>
      <w:tr>
        <w:tc>
          <w:tcPr>
            <w:tcW w:type="dxa" w:w="3000"/>
            <w:tcBorders>
              <w:top w:val="single" w:color="CCCCCC" w:sz="1"/>
              <w:left w:val="single" w:color="CCCCCC" w:sz="1"/>
              <w:bottom w:val="single" w:color="CCCCCC" w:sz="1"/>
              <w:right w:val="single" w:color="CCCCCC" w:sz="1"/>
            </w:tcBorders>
            <w:shd w:fill="C9E3C0" w:val="clear"/>
            <w:tcMar>
              <w:top w:type="dxa" w:w="60"/>
              <w:left w:type="dxa" w:w="110"/>
              <w:bottom w:type="dxa" w:w="60"/>
              <w:right w:type="dxa" w:w="110"/>
            </w:tcMar>
          </w:tcPr>
          <w:p>
            <w:r>
              <w:rPr>
                <w:b/>
                <w:bCs/>
              </w:rPr>
              <w:t xml:space="preserve">Attesté dans les 2 listes FR</w:t>
            </w:r>
          </w:p>
        </w:tc>
        <w:tc>
          <w:tcPr>
            <w:tcW w:type="dxa" w:w="1200"/>
            <w:tcBorders>
              <w:top w:val="single" w:color="CCCCCC" w:sz="1"/>
              <w:left w:val="single" w:color="CCCCCC" w:sz="1"/>
              <w:bottom w:val="single" w:color="CCCCCC" w:sz="1"/>
              <w:right w:val="single" w:color="CCCCCC" w:sz="1"/>
            </w:tcBorders>
            <w:shd w:fill="C9E3C0" w:val="clear"/>
            <w:tcMar>
              <w:top w:type="dxa" w:w="60"/>
              <w:left w:type="dxa" w:w="110"/>
              <w:bottom w:type="dxa" w:w="60"/>
              <w:right w:type="dxa" w:w="110"/>
            </w:tcMar>
          </w:tcPr>
          <w:p>
            <w:pPr>
              <w:jc w:val="center"/>
            </w:pPr>
            <w:r>
              <w:rPr>
                <w:b/>
                <w:bCs/>
              </w:rPr>
              <w:t xml:space="preserve">84</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444444"/>
                <w:sz w:val="18"/>
                <w:szCs w:val="18"/>
              </w:rPr>
              <w:t xml:space="preserve">Noyau le plus solide : reconnu au Québec (Spiralis) ET en France (Présent).</w:t>
            </w:r>
          </w:p>
        </w:tc>
      </w:tr>
      <w:tr>
        <w:tc>
          <w:tcPr>
            <w:tcW w:type="dxa" w:w="3000"/>
            <w:tcBorders>
              <w:top w:val="single" w:color="CCCCCC" w:sz="1"/>
              <w:left w:val="single" w:color="CCCCCC" w:sz="1"/>
              <w:bottom w:val="single" w:color="CCCCCC" w:sz="1"/>
              <w:right w:val="single" w:color="CCCCCC" w:sz="1"/>
            </w:tcBorders>
            <w:shd w:fill="FBF0D2" w:val="clear"/>
            <w:tcMar>
              <w:top w:type="dxa" w:w="60"/>
              <w:left w:type="dxa" w:w="110"/>
              <w:bottom w:type="dxa" w:w="60"/>
              <w:right w:type="dxa" w:w="110"/>
            </w:tcMar>
          </w:tcPr>
          <w:p>
            <w:r>
              <w:rPr>
                <w:b/>
                <w:bCs/>
              </w:rPr>
              <w:t xml:space="preserve">Attesté dans 1 des 2 listes FR</w:t>
            </w:r>
          </w:p>
        </w:tc>
        <w:tc>
          <w:tcPr>
            <w:tcW w:type="dxa" w:w="1200"/>
            <w:tcBorders>
              <w:top w:val="single" w:color="CCCCCC" w:sz="1"/>
              <w:left w:val="single" w:color="CCCCCC" w:sz="1"/>
              <w:bottom w:val="single" w:color="CCCCCC" w:sz="1"/>
              <w:right w:val="single" w:color="CCCCCC" w:sz="1"/>
            </w:tcBorders>
            <w:shd w:fill="FBF0D2" w:val="clear"/>
            <w:tcMar>
              <w:top w:type="dxa" w:w="60"/>
              <w:left w:type="dxa" w:w="110"/>
              <w:bottom w:type="dxa" w:w="60"/>
              <w:right w:type="dxa" w:w="110"/>
            </w:tcMar>
          </w:tcPr>
          <w:p>
            <w:pPr>
              <w:jc w:val="center"/>
            </w:pPr>
            <w:r>
              <w:rPr>
                <w:b/>
                <w:bCs/>
              </w:rPr>
              <w:t xml:space="preserve">81</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444444"/>
                <w:sz w:val="18"/>
                <w:szCs w:val="18"/>
              </w:rPr>
              <w:t xml:space="preserve">Solide : reconnu par l'une des deux traditions francophones.</w:t>
            </w:r>
          </w:p>
        </w:tc>
      </w:tr>
      <w:tr>
        <w:tc>
          <w:tcPr>
            <w:tcW w:type="dxa" w:w="3000"/>
            <w:tcBorders>
              <w:top w:val="single" w:color="CCCCCC" w:sz="1"/>
              <w:left w:val="single" w:color="CCCCCC" w:sz="1"/>
              <w:bottom w:val="single" w:color="CCCCCC" w:sz="1"/>
              <w:right w:val="single" w:color="CCCCCC" w:sz="1"/>
            </w:tcBorders>
            <w:shd w:fill="F1E6D6" w:val="clear"/>
            <w:tcMar>
              <w:top w:type="dxa" w:w="60"/>
              <w:left w:type="dxa" w:w="110"/>
              <w:bottom w:type="dxa" w:w="60"/>
              <w:right w:type="dxa" w:w="110"/>
            </w:tcMar>
          </w:tcPr>
          <w:p>
            <w:r>
              <w:rPr>
                <w:b/>
                <w:bCs/>
              </w:rPr>
              <w:t xml:space="preserve">Propre à l'app (0 liste)</w:t>
            </w:r>
          </w:p>
        </w:tc>
        <w:tc>
          <w:tcPr>
            <w:tcW w:type="dxa" w:w="1200"/>
            <w:tcBorders>
              <w:top w:val="single" w:color="CCCCCC" w:sz="1"/>
              <w:left w:val="single" w:color="CCCCCC" w:sz="1"/>
              <w:bottom w:val="single" w:color="CCCCCC" w:sz="1"/>
              <w:right w:val="single" w:color="CCCCCC" w:sz="1"/>
            </w:tcBorders>
            <w:shd w:fill="F1E6D6" w:val="clear"/>
            <w:tcMar>
              <w:top w:type="dxa" w:w="60"/>
              <w:left w:type="dxa" w:w="110"/>
              <w:bottom w:type="dxa" w:w="60"/>
              <w:right w:type="dxa" w:w="110"/>
            </w:tcMar>
          </w:tcPr>
          <w:p>
            <w:pPr>
              <w:jc w:val="center"/>
            </w:pPr>
            <w:r>
              <w:rPr>
                <w:b/>
                <w:bCs/>
              </w:rPr>
              <w:t xml:space="preserve">102</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444444"/>
                <w:sz w:val="18"/>
                <w:szCs w:val="18"/>
              </w:rPr>
              <w:t xml:space="preserve">Nuances fines ou idiomatiques (« avoir le cœur gros », « en avoir marre ») absentes des listes canoniques — à relire, mais pas des erreurs.</w:t>
            </w:r>
          </w:p>
        </w:tc>
      </w:tr>
    </w:tbl>
    <w:p>
      <w:pPr>
        <w:spacing w:after="120" w:before="80"/>
      </w:pPr>
      <w:r>
        <w:rPr>
          <w:b/>
          <w:bCs/>
        </w:rPr>
        <w:t xml:space="preserve">Lecture. </w:t>
      </w:r>
      <w:r>
        <w:t xml:space="preserve">Environ deux mots sur trois (165 sur 267) sont attestés dans au moins une liste de référence — c'est un socle très sain. Le tiers restant n'est </w:t>
      </w:r>
      <w:r>
        <w:rPr>
          <w:b/>
          <w:bCs/>
        </w:rPr>
        <w:t xml:space="preserve">pas</w:t>
      </w:r>
      <w:r>
        <w:t xml:space="preserve"> un ensemble d'erreurs : ce sont des nuances expressives, souvent idiomatiques du français québécois (« avoir le cœur gros », « en avoir marre », « dans tous mes états »), que les listes canoniques n'incluent pas parce qu'elles ne descendent pas à ce niveau de finesse. C'est une </w:t>
      </w:r>
      <w:r>
        <w:rPr>
          <w:b/>
          <w:bCs/>
        </w:rPr>
        <w:t xml:space="preserve">richesse</w:t>
      </w:r>
      <w:r>
        <w:t xml:space="preserve"> propre à l'app. Le détail mot par mot, avec sa robustesse, est dans le classeur Excel (onglet « Sentiments », triable et filtrable ; onglet « Robustesse » pour la synthèse).</w:t>
      </w:r>
    </w:p>
    <w:p>
      <w:pPr>
        <w:spacing w:after="120" w:before="0"/>
      </w:pPr>
      <w:r>
        <w:rPr>
          <w:b/>
          <w:bCs/>
        </w:rPr>
        <w:t xml:space="preserve">Un défaut corrigé en chemin. </w:t>
      </w:r>
      <w:r>
        <w:t xml:space="preserve">Cette validation a fait ressortir un bogue du moteur d'accord : le mot « énergique » (terminaison en « -que ») était transformé à tort en « énergiqu » au masculin. C'est corrigé : les mots en « -que / -gue » sont désormais traités comme invariants.</w:t>
      </w:r>
    </w:p>
    <w:p>
      <w:pPr>
        <w:pStyle w:val="Heading1"/>
      </w:pPr>
      <w:r>
        <w:t xml:space="preserve">4. Faux-sentiments — validation</w:t>
      </w:r>
    </w:p>
    <w:p>
      <w:pPr>
        <w:spacing w:after="120" w:before="0"/>
      </w:pPr>
      <w:r>
        <w:t xml:space="preserve">C'est le volet le mieux corroboré. Sur les 52 faux-sentiments de l'app, </w:t>
      </w:r>
      <w:r>
        <w:rPr>
          <w:b/>
          <w:bCs/>
        </w:rPr>
        <w:t xml:space="preserve">43 sont confirmés</w:t>
      </w:r>
      <w:r>
        <w:t xml:space="preserve"> par au moins une liste française, et la liste française (Présent) en marque à elle seule 41 comme jugements masqués. Surtout, l'app distingue trois types — jugement sur autrui, </w:t>
      </w:r>
      <w:r>
        <w:rPr>
          <w:b/>
          <w:bCs/>
        </w:rPr>
        <w:t xml:space="preserve">jugement sur soi</w:t>
      </w:r>
      <w:r>
        <w:t xml:space="preserve"> et évaluation positive — ce qui correspond exactement à la distinction du feuillet « Non-Feelings » du CNVC. Échantillon (colonne « Listes FR » = nombre des deux listes qui confirment)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4960"/>
      </w:tblGrid>
      <w:tr>
        <w:trPr>
          <w:tblHeader/>
        </w:trPr>
        <w:tc>
          <w:tcPr>
            <w:tcW w:type="dxa" w:w="19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Faux-sentiment</w:t>
            </w:r>
          </w:p>
        </w:tc>
        <w:tc>
          <w:tcPr>
            <w:tcW w:type="dxa" w:w="12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Listes FR</w:t>
            </w:r>
          </w:p>
        </w:tc>
        <w:tc>
          <w:tcPr>
            <w:tcW w:type="dxa" w:w="496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Correspondance liste CNVC (EN)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abandonnée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(Abandoned)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manipulée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(Manipulated)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ignorée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(Ignored)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rejetée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(Rejected)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utilisée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(Used)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trahie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(Betrayed)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menacée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(Threatened)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maternée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autrui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Oui (Patronized)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coupable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soi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 jugement sur soi (CNVC: guilty)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stupide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soi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 jugement sur soi (CNVC: stupid)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valorisée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positif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0/2</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Non — évaluation positive</w:t>
            </w:r>
          </w:p>
        </w:tc>
      </w:tr>
    </w:tbl>
    <w:p>
      <w:pPr>
        <w:spacing w:after="120" w:before="80"/>
      </w:pPr>
      <w:r>
        <w:rPr>
          <w:b/>
          <w:bCs/>
        </w:rPr>
        <w:t xml:space="preserve">Et les 9 non confirmés ? </w:t>
      </w:r>
      <w:r>
        <w:t xml:space="preserve">Aucun n'est une erreur de classement. Ils se répartissent en trois cas : (1) </w:t>
      </w:r>
      <w:r>
        <w:rPr>
          <w:b/>
          <w:bCs/>
        </w:rPr>
        <w:t xml:space="preserve">deux évaluations positives</w:t>
      </w:r>
      <w:r>
        <w:t xml:space="preserve"> assumées — « importante » et « valorisée » — que les listes, centrées sur le négatif, ne couvrent pas ; (2) la </w:t>
      </w:r>
      <w:r>
        <w:rPr>
          <w:b/>
          <w:bCs/>
        </w:rPr>
        <w:t xml:space="preserve">honte / culpabilité</w:t>
      </w:r>
      <w:r>
        <w:t xml:space="preserve"> (« honteuse »), point de divergence théorique traité à la section suivante ; (3) </w:t>
      </w:r>
      <w:r>
        <w:rPr>
          <w:b/>
          <w:bCs/>
        </w:rPr>
        <w:t xml:space="preserve">six tournures en « pas… » ou composées</w:t>
      </w:r>
      <w:r>
        <w:t xml:space="preserve"> (« pas comprise », « pas respectée », « mise sous pression »…) qui sont du même type que des faux-sentiments attestés, mais formulées autrement que dans les listes. Autrement dit, le classement de l'app tient.</w:t>
      </w:r>
    </w:p>
    <w:p>
      <w:pPr>
        <w:pStyle w:val="Heading1"/>
      </w:pPr>
      <w:r>
        <w:t xml:space="preserve">5. Besoins — couverture et manques</w:t>
      </w:r>
    </w:p>
    <w:p>
      <w:pPr>
        <w:spacing w:after="120" w:before="0"/>
      </w:pPr>
      <w:r>
        <w:t xml:space="preserve">Sur les 145 besoins de l'app, 108 sont corroborés par au moins une liste française. Le recouvrement est large. Deux manques méritent l'attention parce qu'ils reviennent souvent dans les traductions de faux-sentiments : </w:t>
      </w:r>
      <w:r>
        <w:rPr>
          <w:b/>
          <w:bCs/>
        </w:rPr>
        <w:t xml:space="preserve">« Considération »</w:t>
      </w:r>
      <w:r>
        <w:t xml:space="preserve"> et </w:t>
      </w:r>
      <w:r>
        <w:rPr>
          <w:b/>
          <w:bCs/>
        </w:rPr>
        <w:t xml:space="preserve">« Reconnaissance »</w:t>
      </w:r>
      <w:r>
        <w:t xml:space="preserve"> — présents au Québec, en France et au CNVC. Les ajouter à la catégorie « Relationnel » comblerait exactement les contournements faits jusqu'ici dans la table de traduction. La liste complète des candidats est dans le classeur, onglet « Candidats d'ajout ».</w:t>
      </w:r>
    </w:p>
    <w:p>
      <w:pPr>
        <w:pStyle w:val="Heading1"/>
      </w:pPr>
      <w:r>
        <w:t xml:space="preserve">6. Divergences notables</w:t>
      </w:r>
    </w:p>
    <w:p>
      <w:pPr>
        <w:pStyle w:val="ListParagraph"/>
        <w:numPr>
          <w:ilvl w:val="0"/>
          <w:numId w:val="2"/>
        </w:numPr>
        <w:spacing w:after="80"/>
      </w:pPr>
      <w:r>
        <w:t xml:space="preserve">Honte et culpabilité : l'app classe « honteuse » et « coupable » comme faux-sentiments à traduire. Spiralis (FR-QC) les liste comme sentiments mais avec un astérisque « en lien avec pensées », et le CNVC (EN) les place carrément parmi les sentiments (famille EMBARRASSED). Position défendable et prudente côté app, mais c'est un point que les sources traitent différemment — à trancher consciemment.</w:t>
      </w:r>
    </w:p>
    <w:p>
      <w:pPr>
        <w:pStyle w:val="ListParagraph"/>
        <w:numPr>
          <w:ilvl w:val="0"/>
          <w:numId w:val="2"/>
        </w:numPr>
        <w:spacing w:after="80"/>
      </w:pPr>
      <w:r>
        <w:t xml:space="preserve">Famille « affection / amour » absente : le CNVC (AFFECTIONATE) et Spiralis (AIMANT·E) ont une famille dédiée à la tendresse et à l'amour côté besoins comblés. L'app n'en a pas : ses mots d'amour (pleine d'amour, attendrie, chaleureuse…) sont dispersés dans Joie et Tranquillité. Ajouter une famille « Aimante » rapprocherait l'app des deux références.</w:t>
      </w:r>
    </w:p>
    <w:p>
      <w:pPr>
        <w:pStyle w:val="ListParagraph"/>
        <w:numPr>
          <w:ilvl w:val="0"/>
          <w:numId w:val="2"/>
        </w:numPr>
        <w:spacing w:after="80"/>
      </w:pPr>
      <w:r>
        <w:t xml:space="preserve">Envie / jalousie absente : le CNVC isole une famille YEARNING (envious, jealous, longing) ; Spiralis place « Jaloux·se » dans FÂCHÉ·E. L'app n'a ni « jalouse » ni « envieuse ». C'est une zone émotionnelle courante et utile à couvrir.</w:t>
      </w:r>
    </w:p>
    <w:p>
      <w:pPr>
        <w:pStyle w:val="ListParagraph"/>
        <w:numPr>
          <w:ilvl w:val="0"/>
          <w:numId w:val="2"/>
        </w:numPr>
        <w:spacing w:after="80"/>
      </w:pPr>
      <w:r>
        <w:t xml:space="preserve">Sentiment « blessé·e » (hurt) : pivot du CNVC (PAIN: hurt) et présent chez Spiralis. L'app l'emploie dans les traductions de faux-sentiments mais ne l'offre pas comme nuance sélectionnable. Candidat naturel pour la famille Triste.</w:t>
      </w:r>
    </w:p>
    <w:p>
      <w:pPr>
        <w:pStyle w:val="ListParagraph"/>
        <w:numPr>
          <w:ilvl w:val="0"/>
          <w:numId w:val="2"/>
        </w:numPr>
        <w:spacing w:after="80"/>
      </w:pPr>
      <w:r>
        <w:t xml:space="preserve">Découpage des familles : l'app suit la granularité du CNVC (familles distinctes Détachement/DISCONNECTED et Dégoûtée/AVERSION), là où Spiralis fusionne (Dégoûté dans FÂCHÉ·E, indifférent dans FATIGUÉ·E, et Confuse+Surprise dans MÊLÉ·E). Les deux approches sont reconnues ; celle de l'app est plus fine.</w:t>
      </w:r>
    </w:p>
    <w:p>
      <w:pPr>
        <w:pStyle w:val="ListParagraph"/>
        <w:numPr>
          <w:ilvl w:val="0"/>
          <w:numId w:val="2"/>
        </w:numPr>
        <w:spacing w:after="80"/>
      </w:pPr>
      <w:r>
        <w:t xml:space="preserve">Besoins manquants utiles : « Considération » et « Reconnaissance » figurent chez Spiralis (et le CNVC: consideration, to matter) mais pas dans le corpus de besoins de l'app. Les ajouter comblerait exactement les contournements faits dans la table de traduction des faux-sentiments.</w:t>
      </w:r>
    </w:p>
    <w:p>
      <w:pPr>
        <w:pStyle w:val="Heading1"/>
      </w:pPr>
      <w:r>
        <w:t xml:space="preserve">7. Recommandations</w:t>
      </w:r>
    </w:p>
    <w:p>
      <w:pPr>
        <w:spacing w:after="120" w:before="0"/>
      </w:pPr>
      <w:r>
        <w:t xml:space="preserve">Par ordre de rapport valeur / effort. Les durées sont indicatives, en effort humain seul puis en effort assisté par IA (« — » lorsque la tâche relève d'une décision humaine que l'IA ne remplace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100"/>
        <w:gridCol w:w="1100"/>
        <w:gridCol w:w="3400"/>
      </w:tblGrid>
      <w:tr>
        <w:trPr>
          <w:tblHeader/>
        </w:trPr>
        <w:tc>
          <w:tcPr>
            <w:tcW w:type="dxa" w:w="376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Recommandation</w:t>
            </w:r>
          </w:p>
        </w:tc>
        <w:tc>
          <w:tcPr>
            <w:tcW w:type="dxa" w:w="11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Humain</w:t>
            </w:r>
          </w:p>
        </w:tc>
        <w:tc>
          <w:tcPr>
            <w:tcW w:type="dxa" w:w="11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Assisté IA</w:t>
            </w:r>
          </w:p>
        </w:tc>
        <w:tc>
          <w:tcPr>
            <w:tcW w:type="dxa" w:w="3400"/>
            <w:tcBorders>
              <w:top w:val="single" w:color="CCCCCC" w:sz="1"/>
              <w:left w:val="single" w:color="CCCCCC" w:sz="1"/>
              <w:bottom w:val="single" w:color="CCCCCC" w:sz="1"/>
              <w:right w:val="single" w:color="CCCCCC" w:sz="1"/>
            </w:tcBorders>
            <w:shd w:fill="2E5A72" w:val="clear"/>
            <w:tcMar>
              <w:top w:type="dxa" w:w="60"/>
              <w:left w:type="dxa" w:w="110"/>
              <w:bottom w:type="dxa" w:w="60"/>
              <w:right w:type="dxa" w:w="110"/>
            </w:tcMar>
          </w:tcPr>
          <w:p>
            <w:r>
              <w:rPr>
                <w:b/>
                <w:bCs/>
                <w:color w:val="FFFFFF"/>
              </w:rPr>
              <w:t xml:space="preserve">Pourquoi</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Ajouter les besoins « Considération » et « Reconnaissance »</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0,5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10 min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Comble exactement les besoins qui manquaient pour la table de traduction des faux-sentiments. Présents au Québec, en France et au CNVC.</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Trancher le statut de « honteuse » et « coupable »</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1–2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Décision de fond : l'app les traite en faux-sentiments ; le CNVC les classe en sentiments. À décider consciemment.</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Relire les ~100 nuances propres à l'app</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1–2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30 min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Mots fins ou idiomatiques non présents dans les listes (« avoir le cœur gros »…) : vérifier qu'aucun n'est un jugement masqué déguisé.</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Évaluer l'ajout d'une famille « Aimante » (affection / amour)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2–3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 h</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Le CNVC (AFFECTIONATE), Spiralis (AIMANT·E) et Présent (AMOUR) ont tous cette famille ; l'app disperse ces mots.</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Évaluer l'ajout de « jalouse / envieuse » et « blessée »</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1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20 min</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Zones émotionnelles courantes (CNVC : YEARNING, PAIN ; « blessé » présent au Québec et en France) absentes comme nuances sélectionnables.</w:t>
            </w:r>
          </w:p>
        </w:tc>
      </w:tr>
      <w:tr>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Faire valider l'ensemble par une personne formée en CNV</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2–4 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t xml:space="preserv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color w:val="555555"/>
                <w:sz w:val="18"/>
                <w:szCs w:val="18"/>
              </w:rPr>
              <w:t xml:space="preserve">Préalable recommandé avant toute diffusion publique (Play Store).</w:t>
            </w:r>
          </w:p>
        </w:tc>
      </w:tr>
    </w:tbl>
    <w:p>
      <w:pPr>
        <w:pStyle w:val="Heading1"/>
      </w:pPr>
      <w:r>
        <w:t xml:space="preserve">Note de prudence</w:t>
      </w:r>
    </w:p>
    <w:p>
      <w:pPr>
        <w:spacing w:after="120" w:before="0"/>
      </w:pPr>
      <w:r>
        <w:t xml:space="preserve">L'application touche un sujet sensible et, sur un magasin d'applications, des personnes inconnues. Les traductions de faux-sentiments restent une </w:t>
      </w:r>
      <w:r>
        <w:rPr>
          <w:b/>
          <w:bCs/>
        </w:rPr>
        <w:t xml:space="preserve">première proposition</w:t>
      </w:r>
      <w:r>
        <w:t xml:space="preserve"> : leur validation par une personne formée en CNV est le véritable préalable à une diffusion publique — davantage que la technique, qui, elle, est prête. Ce rapport et le classeur joint sont conçus comme des outils de travail pour cette relecture.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Au juste mot — validation du corpus CNV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25en01uzl_v4snmxgysx" Type="http://schemas.openxmlformats.org/officeDocument/2006/relationships/hyperlink" Target="https://spiralis.ca/ressources/sentiments-et-besoins/" TargetMode="External"/><Relationship Id="rIdq_cbu1rc97wykdomqhw7s" Type="http://schemas.openxmlformats.org/officeDocument/2006/relationships/hyperlink" Target="https://presentalinstant.fr/liste-des-besoins-communication-non-violente-cn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juste mot — Validation du corpus CNV</dc:title>
  <dc:creator>FMP InfoSolutions</dc:creator>
  <cp:lastModifiedBy>Un-named</cp:lastModifiedBy>
  <cp:revision>1</cp:revision>
  <dcterms:created xsi:type="dcterms:W3CDTF">2026-06-16T14:42:28.056Z</dcterms:created>
  <dcterms:modified xsi:type="dcterms:W3CDTF">2026-06-16T14:42:28.057Z</dcterms:modified>
</cp:coreProperties>
</file>

<file path=docProps/custom.xml><?xml version="1.0" encoding="utf-8"?>
<Properties xmlns="http://schemas.openxmlformats.org/officeDocument/2006/custom-properties" xmlns:vt="http://schemas.openxmlformats.org/officeDocument/2006/docPropsVTypes"/>
</file>