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2"/>
        </w:rPr>
        <w:t>Pauta de Autoevaluación de Competencias</w:t>
        <w:br/>
      </w:r>
      <w:r>
        <w:rPr>
          <w:i/>
          <w:sz w:val="22"/>
        </w:rPr>
        <w:t>(complemento de la Pauta de Reflexión Definición Proyecto APT)</w:t>
        <w:br/>
        <w:t>Fase 1 - APT122</w:t>
      </w:r>
    </w:p>
    <w:p>
      <w:r>
        <w:t>Objetivo: Identificar los niveles de logro en las competencias del plan de estudio de Ingeniería en Conectividad y Redes para definir y fundamentar el proyecto APT (Portafolio de Título).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F4F8"/>
          </w:tcPr>
          <w:p>
            <w:r>
              <w:rPr>
                <w:b/>
              </w:rPr>
              <w:t>Escuela</w:t>
            </w:r>
          </w:p>
        </w:tc>
        <w:tc>
          <w:tcPr>
            <w:tcW w:type="dxa" w:w="4320"/>
          </w:tcPr>
          <w:p>
            <w:r>
              <w:t>Escuela de Informática y Telecomunicaciones - Duoc UC (Sede San Joaquín)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b/>
              </w:rPr>
              <w:t>Nombre completo</w:t>
            </w:r>
          </w:p>
        </w:tc>
        <w:tc>
          <w:tcPr>
            <w:tcW w:type="dxa" w:w="4320"/>
          </w:tcPr>
          <w:p>
            <w:r>
              <w:t>Bruno Urrea Ortiz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b/>
              </w:rPr>
              <w:t>Plan de Estudio</w:t>
            </w:r>
          </w:p>
        </w:tc>
        <w:tc>
          <w:tcPr>
            <w:tcW w:type="dxa" w:w="4320"/>
          </w:tcPr>
          <w:p>
            <w:r>
              <w:t>Ingeniería en Conectividad y Redes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b/>
              </w:rPr>
              <w:t>Año de ingreso</w:t>
            </w:r>
          </w:p>
        </w:tc>
        <w:tc>
          <w:tcPr>
            <w:tcW w:type="dxa" w:w="4320"/>
          </w:tcPr>
          <w:p>
            <w:r>
              <w:t>2022 / 2023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003366"/>
          </w:tcPr>
          <w:p>
            <w:r>
              <w:rPr>
                <w:b/>
                <w:color w:val="FFFFFF"/>
                <w:sz w:val="18"/>
              </w:rPr>
              <w:t>Competencias Perfil de egreso</w:t>
            </w:r>
          </w:p>
        </w:tc>
        <w:tc>
          <w:tcPr>
            <w:tcW w:type="dxa" w:w="1234"/>
            <w:shd w:val="clear" w:color="auto" w:fill="003366"/>
          </w:tcPr>
          <w:p>
            <w:r>
              <w:rPr>
                <w:b/>
                <w:color w:val="FFFFFF"/>
                <w:sz w:val="18"/>
              </w:rPr>
              <w:t>Excelente Dominio (ED)</w:t>
            </w:r>
          </w:p>
        </w:tc>
        <w:tc>
          <w:tcPr>
            <w:tcW w:type="dxa" w:w="1234"/>
            <w:shd w:val="clear" w:color="auto" w:fill="003366"/>
          </w:tcPr>
          <w:p>
            <w:r>
              <w:rPr>
                <w:b/>
                <w:color w:val="FFFFFF"/>
                <w:sz w:val="18"/>
              </w:rPr>
              <w:t>Alto Dominio (AD)</w:t>
            </w:r>
          </w:p>
        </w:tc>
        <w:tc>
          <w:tcPr>
            <w:tcW w:type="dxa" w:w="1234"/>
            <w:shd w:val="clear" w:color="auto" w:fill="003366"/>
          </w:tcPr>
          <w:p>
            <w:r>
              <w:rPr>
                <w:b/>
                <w:color w:val="FFFFFF"/>
                <w:sz w:val="18"/>
              </w:rPr>
              <w:t>Dominio Aceptable (DA)</w:t>
            </w:r>
          </w:p>
        </w:tc>
        <w:tc>
          <w:tcPr>
            <w:tcW w:type="dxa" w:w="1234"/>
            <w:shd w:val="clear" w:color="auto" w:fill="003366"/>
          </w:tcPr>
          <w:p>
            <w:r>
              <w:rPr>
                <w:b/>
                <w:color w:val="FFFFFF"/>
                <w:sz w:val="18"/>
              </w:rPr>
              <w:t>Dominio Insuficiente (DP)</w:t>
            </w:r>
          </w:p>
        </w:tc>
        <w:tc>
          <w:tcPr>
            <w:tcW w:type="dxa" w:w="1234"/>
            <w:shd w:val="clear" w:color="auto" w:fill="003366"/>
          </w:tcPr>
          <w:p>
            <w:r>
              <w:rPr>
                <w:b/>
                <w:color w:val="FFFFFF"/>
                <w:sz w:val="18"/>
              </w:rPr>
              <w:t>Dominio no logrado (DNL)</w:t>
            </w:r>
          </w:p>
        </w:tc>
        <w:tc>
          <w:tcPr>
            <w:tcW w:type="dxa" w:w="1234"/>
            <w:shd w:val="clear" w:color="auto" w:fill="003366"/>
          </w:tcPr>
          <w:p>
            <w:r>
              <w:rPr>
                <w:b/>
                <w:color w:val="FFFFFF"/>
                <w:sz w:val="18"/>
              </w:rPr>
              <w:t>Comentarios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Crear planos de redes de datos y sistemas de telecomunicaciones según normas técnicas.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7"/>
              </w:rPr>
              <w:t>X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Sólida experiencia en diseño de topologías IT/OT complejas y documentación técnica bajo estándares de la industria.</w:t>
            </w:r>
          </w:p>
        </w:tc>
      </w:tr>
      <w:tr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  <w:t>Seleccionar medios de transmisión físicos, ópticos o inalámbricos adecuados.</w:t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pPr>
              <w:jc w:val="center"/>
            </w:pPr>
            <w:r>
              <w:rPr>
                <w:b/>
                <w:sz w:val="17"/>
              </w:rPr>
              <w:t>X</w:t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  <w:t>Dominio de medios guiados y no guiados; experiencia práctica en despliegues físicos y proyectos de telecomunicaciones.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Adaptar tecnologías de punta y tendencias emergentes de conectividad.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7"/>
              </w:rPr>
              <w:t>X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Integración continua de Inteligencia Artificial (Gemini Live API), virtualización con Proxmox, Dokploy y orquestación moderna.</w:t>
            </w:r>
          </w:p>
        </w:tc>
      </w:tr>
      <w:tr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  <w:t>Controlar y operar redes corporativas de gran tamaño.</w:t>
            </w:r>
          </w:p>
        </w:tc>
        <w:tc>
          <w:tcPr>
            <w:tcW w:type="dxa" w:w="1234"/>
            <w:shd w:val="clear" w:color="auto" w:fill="F9FAFC"/>
          </w:tcPr>
          <w:p>
            <w:pPr>
              <w:jc w:val="center"/>
            </w:pPr>
            <w:r>
              <w:rPr>
                <w:b/>
                <w:sz w:val="17"/>
              </w:rPr>
              <w:t>X</w:t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  <w:t>Manejo avanzado de enrutamiento dinámico, topologías Cisco (CCNA), segmentación de VLANs y arquitectura de alta disponibilidad.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Unificar servicios de voz, datos y video.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7"/>
              </w:rPr>
              <w:t>X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Implementación práctica de telefonía VoIP sobre Asterisk PBX en contenedores e integración directa con agentes de IA de voz.</w:t>
            </w:r>
          </w:p>
        </w:tc>
      </w:tr>
      <w:tr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  <w:t>Automatizar procesos y gestión de plataformas de red.</w:t>
            </w:r>
          </w:p>
        </w:tc>
        <w:tc>
          <w:tcPr>
            <w:tcW w:type="dxa" w:w="1234"/>
            <w:shd w:val="clear" w:color="auto" w:fill="F9FAFC"/>
          </w:tcPr>
          <w:p>
            <w:pPr>
              <w:jc w:val="center"/>
            </w:pPr>
            <w:r>
              <w:rPr>
                <w:b/>
                <w:sz w:val="17"/>
              </w:rPr>
              <w:t>X</w:t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  <w:t>Desarrollo de scripts de automatización en Python, Google Apps Script, parsers de logs y pipelines de despliegue.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Gestionar la seguridad de la información frente a vulnerabilidades.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7"/>
              </w:rPr>
              <w:t>X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Especialización en ciberseguridad ofensiva/defensiva (CTF DevSec), análisis de vectores de ataque como SQLi/MQTT y hardening.</w:t>
            </w:r>
          </w:p>
        </w:tc>
      </w:tr>
      <w:tr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  <w:t>Crear planes de prevención y respuesta a riesgos informáticos.</w:t>
            </w:r>
          </w:p>
        </w:tc>
        <w:tc>
          <w:tcPr>
            <w:tcW w:type="dxa" w:w="1234"/>
            <w:shd w:val="clear" w:color="auto" w:fill="F9FAFC"/>
          </w:tcPr>
          <w:p>
            <w:pPr>
              <w:jc w:val="center"/>
            </w:pPr>
            <w:r>
              <w:rPr>
                <w:b/>
                <w:sz w:val="17"/>
              </w:rPr>
              <w:t>X</w:t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  <w:t>Diseño de arquitecturas perimetrales con pfSense, Suricata en modo Inline IPS, pfBlockerNG con MaxMind GeoIP y mitigación automática.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Dirigir labores de soporte técnico avanzado para la infraestructura.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7"/>
              </w:rPr>
              <w:t>X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Resolución de incidencias en capa 2 a 7, troubleshooting en Linux (Arch/Ubuntu), FreeBSD/pfSense y análisis de tráfico de red.</w:t>
            </w:r>
          </w:p>
        </w:tc>
      </w:tr>
      <w:tr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  <w:t>Liderar proyectos de telecomunicaciones e integración digital.</w:t>
            </w:r>
          </w:p>
        </w:tc>
        <w:tc>
          <w:tcPr>
            <w:tcW w:type="dxa" w:w="1234"/>
            <w:shd w:val="clear" w:color="auto" w:fill="F9FAFC"/>
          </w:tcPr>
          <w:p>
            <w:pPr>
              <w:jc w:val="center"/>
            </w:pPr>
            <w:r>
              <w:rPr>
                <w:b/>
                <w:sz w:val="17"/>
              </w:rPr>
              <w:t>X</w:t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</w:r>
          </w:p>
        </w:tc>
        <w:tc>
          <w:tcPr>
            <w:tcW w:type="dxa" w:w="1234"/>
            <w:shd w:val="clear" w:color="auto" w:fill="F9FAFC"/>
          </w:tcPr>
          <w:p>
            <w:r>
              <w:rPr>
                <w:sz w:val="17"/>
              </w:rPr>
              <w:t>Liderazgo técnico en iniciativas como Cyb4Students Week, 1° lugar en SummIT 5G Innovation Challenge y despliegues CTF internacionales.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Evaluar costos, calidad del servicio y cumplimiento de normativas.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7"/>
              </w:rPr>
              <w:t>X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Optimización de costos mediante software Open Source (pfSense, Suricata, Asterisk) y cumplimiento de estándares de seguridad.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