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64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Autoevaluación — Informe de Avance Proyecto APT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Asignatura: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Capstone (PTY4624)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Evaluación: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Fase 2, semana 9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Agente evaluativo: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Autoevaluación (formativa, 0 %)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Estudiante: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Kevin Retamales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Proyecto: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KRONOS SENTINEL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Fecha: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13 de octubre de 2026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 en el proyecto: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Hardening perimetral, inteligencia de amenazas (pfBlockerNG) y control de calidad (QA).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Documento evaluado: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informe de avance del equipo (guía 2.4 «Desarrollo Proyecto APT», informe técnico de avance de la semana 7 del 02/10/2026, presentación de avance de cinco diapositivas y evidencias del repositorio), revisado desde mis actividades A3.2, A4 y A10.</w:t>
      </w:r>
    </w:p>
    <w:p>
      <w:pPr>
        <w:spacing w:after="120" w:before="80" w:line="264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Por indicación de la docente, el indicador 8 de la pauta (redacción del abstract, las conclusiones y la reflexión en inglés) no aplica a este equipo. La autoevaluación se realiza sobre los siete indicadores restantes, que suman una ponderación de 90.</w:t>
      </w:r>
    </w:p>
    <w:p>
      <w:pPr>
        <w:keepNext/>
        <w:pBdr>
          <w:bottom w:val="single" w:color="1F3864" w:sz="8" w:space="2"/>
        </w:pBdr>
        <w:spacing w:after="120" w:before="240" w:line="264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Mi participación en el avance</w:t>
      </w:r>
    </w:p>
    <w:p>
      <w:pPr>
        <w:spacing w:after="80" w:before="0" w:line="264"/>
      </w:pPr>
      <w:r>
        <w:rPr>
          <w:rFonts w:ascii="Calibri" w:cs="Calibri" w:eastAsia="Calibri" w:hAnsi="Calibri"/>
          <w:sz w:val="20"/>
          <w:szCs w:val="20"/>
        </w:rPr>
        <w:t xml:space="preserve">Según la carta Gantt, soy responsable de A3.2 (firmas Emerging Threats y bloqueo selectivo, semanas 5 y 6), de A4 (reputación IP y GeoIP en la WAN, semanas 7 y 8) y lidero el control de calidad de A10 (semanas 16 a 18).</w:t>
      </w:r>
    </w:p>
    <w:p>
      <w:pPr>
        <w:spacing w:after="80" w:before="0" w:line="264"/>
      </w:pPr>
      <w:r>
        <w:rPr>
          <w:rFonts w:ascii="Calibri" w:cs="Calibri" w:eastAsia="Calibri" w:hAnsi="Calibri"/>
          <w:sz w:val="20"/>
          <w:szCs w:val="20"/>
        </w:rPr>
        <w:t xml:space="preserve">La implementación de A3.2 y A4 en el laboratorio se ejecutó en conjunto con Bruno Urrea. Mi aporte en esta etapa fue verificar la configuración en pfSense (05/10/2026, mediante la tailnet del equipo y la WebGUI), analizar las evidencias y presentar las diapositivas de pruebas (4 y 5) en la evaluación de avance del 06/10/2026.</w:t>
      </w:r>
    </w:p>
    <w:p>
      <w:pPr>
        <w:keepNext/>
        <w:pBdr>
          <w:bottom w:val="single" w:color="1F3864" w:sz="8" w:space="2"/>
        </w:pBdr>
        <w:spacing w:after="120" w:before="240" w:line="264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Pauta de autoevaluación (rúbrica)</w:t>
      </w:r>
    </w:p>
    <w:p>
      <w:pPr>
        <w:spacing w:after="100" w:before="0" w:line="264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Niveles: Completamente logrado (CL, 100 %) · Logrado (L, 60 %) · Logro incipiente (LI, 30 %) · No logrado (NL, 0 %). Puntaje = ponderación × % de logro.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650"/>
        <w:gridCol w:w="650"/>
        <w:gridCol w:w="750"/>
        <w:gridCol w:w="3044"/>
        <w:gridCol w:w="2644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Indicador de evaluación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Pond.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Nivel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Puntaje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Justificación (dónde se evidencia)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Qué debo mejorar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Propone ajustes al Proyecto APT considerando dificultades, facilitadores y retroalimentación.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informe justifica ajustes concretos: borde en AWS con WireGuard por CGNAT; en A4, exclusión de los rangos RFC 1918, CGNAT (100.64.0.0/10) y loopback en FireHOL mediante la acción Alias Deny, porque la lista los incluye y bloquearía la red interna y la tailnet; aumento de Firewall Maximum Table Entries a 2.000.000; y en A3.2, la categoría emerging-info para resolver dependencias de flowbits. Se incorporó la retroalimentación docente: evidencia a nivel de sistema operativo y presentación de formato comercial.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alcance GeoIP se redujo de seis países planificados (CN, RU, IR, KP, VN y NG) a dos (RU y KP) sin una justificación escrita. Debo documentarla o completar el alcance.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Aplica una metodología que permite el logro de los objetivos propuestos, de acuerdo con los estándares de la disciplina.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Metodología iterativa e incremental, con criterios de aceptación medibles por actividad, clasificación de componentes por estado (PROVISIONED, CONFIGURED, TESTED, VALIDATED) y pruebas con control positivo y negativo. En A4 se comparan los contadores de cada regla antes y después de tres tramas de prueba.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A3 se cerró el 02/10, después de su plazo (27/09), y mi participación en A3.2 y A4 fue principalmente de verificación. Debo ejecutar directamente las pruebas de mis actividades y registrarlas a mi nombre.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Genera evidencias que dan cuenta del avance del Proyecto APT, de acuerdo con los estándares de la disciplina.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A4: cuatro reglas con 3 DROP cada una (12/12); tablas cargadas con Spamhaus DROP 1.692, RU 13.178, KP 10 y FireHOL 4.643 entradas; capacidad de tablas de 2.000.000. A3.2: 26.628 firmas en la WAN y 26.629 en el troncal, con 0 fallidas. El 05/10 verifiqué personalmente en la WebGUI las reglas WAN, las listas IPv4, GeoIP, las tablas y los sensores Suricata.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Las pruebas se presentan como resúmenes visuales. Faltan salidas nativas de consola (pfctl -t &lt;tabla&gt; -T show y pfblockerng.log), capturas de los bloqueos en Reports &gt; Alerts y una validación de la precisión geográfica de MaxMind.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Utiliza de manera precisa el lenguaje técnico de acuerdo con lo requerido por la disciplina.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Uso consistente de términos de redes y seguridad: Alias Native y Alias Deny, supresión de rangos RFC 1918 y RFC 6598, Inline IPS sobre Netmap, SID y flowbits, fail-closed, SNAT y 802.1Q.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el nivel y explicar los términos menos comunes al presentar ante la comisión.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Utiliza reglas de redacción, ortografía y normas de citas y referencias.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redacción del informe es clara, pero no incluye un apartado de referencias en formato APA. Esta autoevaluación incorpora las referencias de las fuentes usadas en A3.2 y A4.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Agregar referencias APA 7 al informe del equipo y citarlas en el texto.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 Cumple con el formato del informe de avance establecido por la disciplina.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 informe sigue la estructura de la guía 2.4: resumen de avance, monitoreo del plan de trabajo, ajustes a partir del monitoreo y anexo de evidencias.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Faltan elementos del formato de informe técnico: portada, índice y resumen.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 Cumple con los indicadores de calidad requeridos en la presentación del informe de avance y final.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 cumplen 8 de 11 indicadores de calidad y 3 de forma parcial (ver sección 2).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Completar la QoS de la VLAN de voz (A7) y formalizar los planes de mantenimiento preventivo y de monitoreo permanente (A10).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 (indicadores 1 a 7)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90 %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58</w:t>
            </w:r>
          </w:p>
        </w:tc>
        <w:tc>
          <w:tcPr>
            <w:tcW w:type="dxa" w:w="30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Nivel global: Logrado (58 de 90 puntos, equivalente a 64,4 %).</w:t>
            </w:r>
          </w:p>
        </w:tc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Prioridad: evidencias nativas de A4 (indicador 3) y justificación del alcance GeoIP (indicador 1).</w:t>
            </w:r>
          </w:p>
        </w:tc>
      </w:tr>
    </w:tbl>
    <w:p>
      <w:pPr>
        <w:keepNext/>
        <w:pBdr>
          <w:bottom w:val="single" w:color="1F3864" w:sz="8" w:space="2"/>
        </w:pBdr>
        <w:spacing w:after="120" w:before="240" w:line="264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Indicadores de calidad del perfil de egreso</w:t>
      </w:r>
    </w:p>
    <w:p>
      <w:pPr>
        <w:spacing w:after="100" w:before="0" w:line="264"/>
      </w:pPr>
      <w:r>
        <w:rPr>
          <w:rFonts w:ascii="Calibri" w:cs="Calibri" w:eastAsia="Calibri" w:hAnsi="Calibri"/>
          <w:sz w:val="20"/>
          <w:szCs w:val="20"/>
        </w:rPr>
        <w:t xml:space="preserve">Se seleccionaron los indicadores de calidad de las cinco competencias del perfil de egreso que se desarrollan en el proyecto y se verificó si están presentes en el informe.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2850"/>
        <w:gridCol w:w="1050"/>
        <w:gridCol w:w="3888"/>
      </w:tblGrid>
      <w:tr>
        <w:trPr>
          <w:cantSplit/>
          <w:tblHeader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Competencia del perfil de egreso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Indicador de calidad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¿Presente?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Dónde se evidencia / observación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Implementar una red LAN/WAN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1.1 Implementa completamente y sin errores una red LAN/WAN para la conectividad de dispositivos fijos y móviles, según estándares y parámetros de seguridad.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WAN por AWS y WireGuard hacia pfSense; cuatro VLAN 802.1Q (CORP 10, DMZ 20, VOIP 30 y MGMT 99) con DHCP y aislamiento (16 PASS); reputación IP y GeoIP en la WAN (A4).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Implementar una red LAN/WAN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1.2 Entrega evidencia relacionada con la simulación de la red LAN/WAN considerando dispositivos fijos o móviles.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Laboratorio virtual de seis VM en Proxmox VE (VM100 a VM105) y evidencias de A1, A2 y del transporte.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la red de datos convergente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2.1 Habilita completamente y sin errores una red de datos convergente, considerando calidad de servicio y las necesidades del cliente.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Parcial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Existen la VLAN 30 para voz y el host de Asterisk, pero la QoS está planificada en A7.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la red de datos convergente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2.2 Evidencia aspectos de escalabilidad para la red de datos propuesta, de acuerdo con el modelo de capas.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 segmentación por VLAN permite agregar segmentos sin rediseñar la topología, y las tablas del firewall se dimensionaron a 2.000.000 de entradas para crecer en listas.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la red de datos convergente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2.3 Incorpora tecnologías emergentes (SD-WAN, servicios cloud o automatización) para optimizar la red.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Borde en la nube (AWS EC2), actualización automática diaria de las listas de reputación y GeoIP, y verificación automatizada mediante el guard IPS.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sistemas operativos y servicios en red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3.1 Diseña completamente y sin errores una propuesta para poner en marcha los servicios operativos de red, bajo una infraestructura convergente y escalable.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Servicios por segmento: DMZ web (DVWA y HAProxy), VoIP, gestión y corporativo.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sistemas operativos y servicios en red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 Incorpora un plan de mantenimiento preventivo para el buen funcionamiento de los servicios de red.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Parcial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Existen tareas automáticas (listas de pfBlockerNG y MaxMind diarias, bogons mensual y firmas ET), pero no un plan formal de mantenimiento preventivo con responsables y frecuencia.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Mantener sistemas operativos y servicios en red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3.3 Integra nuevas tendencias tecnológicas en la habilitación de los servicios de red (virtualización en la nube).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Virtualización con Proxmox VE e infraestructura en AWS EC2.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Monitorear políticas de seguridad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4.1 Presenta de forma completa y sin errores una solución que incorpora políticas de seguridad para asegurar los activos de la organización.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Denegación por defecto, aislamiento entre VLAN, IPS Inline en la WAN y en el troncal, reputación IP y GeoIP, cierre ante fallos (fail-closed) y acceso por una tailnet separada.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Monitorear políticas de seguridad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4.2 Diseña un plan para evaluar y monitorear de manera permanente las políticas de seguridad en la red.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Parcial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Las reglas de A4 y los sensores Suricata registran eventos (logging activo), pero el plan de monitoreo permanente se formalizará en A10.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Diseñar soluciones de conectividad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5.1 Diseña completamente y sin errores una solución de redes y telecomunicaciones que incorpore tendencias tecnológicas.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3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Arquitectura SOAR con IPS, motor de correlación, telefonía IP y agente de voz con IA (diseño completo; implementación en A5 a A8).</w:t>
            </w:r>
          </w:p>
        </w:tc>
      </w:tr>
    </w:tbl>
    <w:p>
      <w:pPr>
        <w:spacing w:after="10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8 de 11 indicadores presentes y 3 parciales. Como no se alcanza el 100 %, el indicador 7 de la rúbrica se autoevalúa como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Logrado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</w:t>
      </w:r>
    </w:p>
    <w:p>
      <w:pPr>
        <w:keepNext/>
        <w:pBdr>
          <w:bottom w:val="single" w:color="1F3864" w:sz="8" w:space="2"/>
        </w:pBdr>
        <w:spacing w:after="120" w:before="240" w:line="264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Fortalezas y aspectos por mejorar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Fortalezas identificadas: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Las pruebas son medibles y reproducibles: cada una compara el resultado esperado con el obtenido e incluye un control de tráfico legítimo.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El equipo declara con transparencia los atrasos de A2 y A3, junto con sus correcciones.</w:t>
      </w:r>
    </w:p>
    <w:p>
      <w:pPr>
        <w:pStyle w:val="ListParagraph"/>
        <w:numPr>
          <w:ilvl w:val="0"/>
          <w:numId w:val="2"/>
        </w:num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Comprendo la cadena de dependencias de mis actividades: sin preservar la IP de origen (sin SNAT), las reglas de GeoIP y de reputación no funcionarían; y sin desactivar el offloading, las firmas de Suricata no coincidirían con el tráfico.</w:t>
      </w:r>
    </w:p>
    <w:p>
      <w:pPr>
        <w:spacing w:after="80" w:before="12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Aspectos por mejorar antes de la evaluación sumativa: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100"/>
        <w:gridCol w:w="1500"/>
        <w:gridCol w:w="3438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Acción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Fecha límite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Generar evidencia nativa de A4: salidas de pfctl -t &lt;tabla&gt; -T show, extracto de pfblockerng.log y captura de Reports &gt; Alerts.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 de octubre (S10)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Evidencia a nivel de sistema operativo, ejecutada por mí.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Confirmar con el equipo y documentar el alcance GeoIP: ampliar a CN, IR, VN y NG, o justificar la reducción.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 de octubre (S10)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Ajuste justificado por escrito.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Proponer aplicar FireHOL al tráfico saliente de CORP y DMZ para detectar equipos comprometidos.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y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 de octubre (S11)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Propuesta evaluada por el equipo.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Elaborar el borrador de la matriz de QA de A10: escenarios SQLi, descarte en kernel &lt; 100 ms, respuesta total &lt; 1,5 s y cierre ante fallos.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y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 de octubre (S11)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Planes de prueba y de monitoreo formalizados (indicadores de calidad 3.2 y 4.2).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Agregar portada, índice, resumen y referencias APA 7 al informe del equipo.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y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de noviembre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Formato completo del informe.</w:t>
            </w:r>
          </w:p>
        </w:tc>
      </w:tr>
    </w:tbl>
    <w:p>
      <w:pPr>
        <w:keepNext/>
        <w:pBdr>
          <w:bottom w:val="single" w:color="1F3864" w:sz="8" w:space="2"/>
        </w:pBdr>
        <w:spacing w:after="120" w:before="240" w:line="264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Referencias</w:t>
      </w:r>
    </w:p>
    <w:p>
      <w:pPr>
        <w:spacing w:after="80" w:line="264"/>
        <w:ind w:left="567" w:hanging="567"/>
      </w:pPr>
      <w:r>
        <w:rPr>
          <w:rFonts w:ascii="Calibri" w:cs="Calibri" w:eastAsia="Calibri" w:hAnsi="Calibri"/>
          <w:sz w:val="20"/>
          <w:szCs w:val="20"/>
        </w:rPr>
        <w:t xml:space="preserve">FireHOL. (s.f.).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FireHOL IP lists: firehol_level1</w:t>
      </w:r>
      <w:r>
        <w:rPr>
          <w:rFonts w:ascii="Calibri" w:cs="Calibri" w:eastAsia="Calibri" w:hAnsi="Calibri"/>
          <w:sz w:val="20"/>
          <w:szCs w:val="20"/>
        </w:rPr>
        <w:t xml:space="preserve">. https://iplists.firehol.org/?ipset=firehol_level1</w:t>
      </w:r>
    </w:p>
    <w:p>
      <w:pPr>
        <w:spacing w:after="80" w:line="264"/>
        <w:ind w:left="567" w:hanging="567"/>
      </w:pPr>
      <w:r>
        <w:rPr>
          <w:rFonts w:ascii="Calibri" w:cs="Calibri" w:eastAsia="Calibri" w:hAnsi="Calibri"/>
          <w:sz w:val="20"/>
          <w:szCs w:val="20"/>
        </w:rPr>
        <w:t xml:space="preserve">MaxMind. (s.f.).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GeoLite2 free geolocation data</w:t>
      </w:r>
      <w:r>
        <w:rPr>
          <w:rFonts w:ascii="Calibri" w:cs="Calibri" w:eastAsia="Calibri" w:hAnsi="Calibri"/>
          <w:sz w:val="20"/>
          <w:szCs w:val="20"/>
        </w:rPr>
        <w:t xml:space="preserve">. https://dev.maxmind.com/geoip/geolite2-free-geolocation-data</w:t>
      </w:r>
    </w:p>
    <w:p>
      <w:pPr>
        <w:spacing w:after="80" w:line="264"/>
        <w:ind w:left="567" w:hanging="567"/>
      </w:pPr>
      <w:r>
        <w:rPr>
          <w:rFonts w:ascii="Calibri" w:cs="Calibri" w:eastAsia="Calibri" w:hAnsi="Calibri"/>
          <w:sz w:val="20"/>
          <w:szCs w:val="20"/>
        </w:rPr>
        <w:t xml:space="preserve">Netgate. (s.f.).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pfSense software documentation</w:t>
      </w:r>
      <w:r>
        <w:rPr>
          <w:rFonts w:ascii="Calibri" w:cs="Calibri" w:eastAsia="Calibri" w:hAnsi="Calibri"/>
          <w:sz w:val="20"/>
          <w:szCs w:val="20"/>
        </w:rPr>
        <w:t xml:space="preserve">. https://docs.netgate.com/pfsense/en/latest/</w:t>
      </w:r>
    </w:p>
    <w:p>
      <w:pPr>
        <w:spacing w:after="80" w:line="264"/>
        <w:ind w:left="567" w:hanging="567"/>
      </w:pPr>
      <w:r>
        <w:rPr>
          <w:rFonts w:ascii="Calibri" w:cs="Calibri" w:eastAsia="Calibri" w:hAnsi="Calibri"/>
          <w:sz w:val="20"/>
          <w:szCs w:val="20"/>
        </w:rPr>
        <w:t xml:space="preserve">Open Information Security Foundation. (s.f.).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Suricata user guide</w:t>
      </w:r>
      <w:r>
        <w:rPr>
          <w:rFonts w:ascii="Calibri" w:cs="Calibri" w:eastAsia="Calibri" w:hAnsi="Calibri"/>
          <w:sz w:val="20"/>
          <w:szCs w:val="20"/>
        </w:rPr>
        <w:t xml:space="preserve">. https://docs.suricata.io/</w:t>
      </w:r>
    </w:p>
    <w:p>
      <w:pPr>
        <w:spacing w:after="80" w:line="264"/>
        <w:ind w:left="567" w:hanging="567"/>
      </w:pPr>
      <w:r>
        <w:rPr>
          <w:rFonts w:ascii="Calibri" w:cs="Calibri" w:eastAsia="Calibri" w:hAnsi="Calibri"/>
          <w:sz w:val="20"/>
          <w:szCs w:val="20"/>
        </w:rPr>
        <w:t xml:space="preserve">Proofpoint. (s.f.).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Emerging Threats Open ruleset</w:t>
      </w:r>
      <w:r>
        <w:rPr>
          <w:rFonts w:ascii="Calibri" w:cs="Calibri" w:eastAsia="Calibri" w:hAnsi="Calibri"/>
          <w:sz w:val="20"/>
          <w:szCs w:val="20"/>
        </w:rPr>
        <w:t xml:space="preserve">. https://rules.emergingthreats.net/</w:t>
      </w:r>
    </w:p>
    <w:p>
      <w:pPr>
        <w:spacing w:after="80" w:line="264"/>
        <w:ind w:left="567" w:hanging="567"/>
      </w:pPr>
      <w:r>
        <w:rPr>
          <w:rFonts w:ascii="Calibri" w:cs="Calibri" w:eastAsia="Calibri" w:hAnsi="Calibri"/>
          <w:sz w:val="20"/>
          <w:szCs w:val="20"/>
        </w:rPr>
        <w:t xml:space="preserve">Rekhter, Y., Moskowitz, B., Karrenberg, D., de Groot, G. J. y Lear, E. (1996).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Address allocation for private internets</w:t>
      </w:r>
      <w:r>
        <w:rPr>
          <w:rFonts w:ascii="Calibri" w:cs="Calibri" w:eastAsia="Calibri" w:hAnsi="Calibri"/>
          <w:sz w:val="20"/>
          <w:szCs w:val="20"/>
        </w:rPr>
        <w:t xml:space="preserve"> (RFC 1918). Internet Engineering Task Force. https://www.rfc-editor.org/rfc/rfc1918</w:t>
      </w:r>
    </w:p>
    <w:p>
      <w:pPr>
        <w:spacing w:after="80" w:line="264"/>
        <w:ind w:left="567" w:hanging="567"/>
      </w:pPr>
      <w:r>
        <w:rPr>
          <w:rFonts w:ascii="Calibri" w:cs="Calibri" w:eastAsia="Calibri" w:hAnsi="Calibri"/>
          <w:sz w:val="20"/>
          <w:szCs w:val="20"/>
        </w:rPr>
        <w:t xml:space="preserve">The Spamhaus Project. (s.f.).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Don't Route Or Peer lists (DROP)</w:t>
      </w:r>
      <w:r>
        <w:rPr>
          <w:rFonts w:ascii="Calibri" w:cs="Calibri" w:eastAsia="Calibri" w:hAnsi="Calibri"/>
          <w:sz w:val="20"/>
          <w:szCs w:val="20"/>
        </w:rPr>
        <w:t xml:space="preserve">. https://www.spamhaus.org/blocklists/do-not-route-or-peer/</w:t>
      </w:r>
    </w:p>
    <w:p>
      <w:pPr>
        <w:spacing w:after="80" w:line="264"/>
        <w:ind w:left="567" w:hanging="567"/>
      </w:pPr>
      <w:r>
        <w:rPr>
          <w:rFonts w:ascii="Calibri" w:cs="Calibri" w:eastAsia="Calibri" w:hAnsi="Calibri"/>
          <w:sz w:val="20"/>
          <w:szCs w:val="20"/>
        </w:rPr>
        <w:t xml:space="preserve">Weil, J., Kuarsingh, V., Donley, C., Liljenstolpe, C. y Azinger, M. (2012).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IANA-reserved IPv4 prefix for shared address space</w:t>
      </w:r>
      <w:r>
        <w:rPr>
          <w:rFonts w:ascii="Calibri" w:cs="Calibri" w:eastAsia="Calibri" w:hAnsi="Calibri"/>
          <w:sz w:val="20"/>
          <w:szCs w:val="20"/>
        </w:rPr>
        <w:t xml:space="preserve"> (RFC 6598). Internet Engineering Task Force. https://www.rfc-editor.org/rfc/rfc6598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Autoevaluación Informe de avance Proyecto APT · Kevin Retamales |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Informe de Avance Proyecto APT — Kevin Retamales</dc:title>
  <dc:creator>Kevin Retamales</dc:creator>
  <cp:lastModifiedBy>Un-named</cp:lastModifiedBy>
  <cp:revision>1</cp:revision>
  <dcterms:created xsi:type="dcterms:W3CDTF">2026-10-13T16:43:04.150Z</dcterms:created>
  <dcterms:modified xsi:type="dcterms:W3CDTF">2026-10-13T16:43:04.151Z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