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64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Autoevaluación — Informe de Avance Proyecto APT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Asignatura: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Capstone (PTY4624)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Evaluación: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Fase 2, semana 9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Agente evaluativo: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Autoevaluación (formativa, 0 %)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Estudiante: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Bruno Urrea Ortiz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Proyecto: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KRONOS SENTINEL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Fecha: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13 de octubre de 2026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 en el proyecto: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Líder del proyecto y de la arquitectura de ciberseguridad; motor de correlación KRONOS (pfctl) e integración Gemini Live.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Documento evaluado: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informe de avance del equipo (guía 2.4 «Desarrollo Proyecto APT», informes técnicos de avance de la semana 7 del 01 y 02/10/2026, presentación de avance de cinco diapositivas, evidencias fechadas e infraestructura como código del repositorio), revisado desde mis actividades A1, A3, A6 y A8 y desde mi rol de líder.</w:t>
      </w:r>
    </w:p>
    <w:p>
      <w:pPr>
        <w:spacing w:after="120" w:before="80" w:line="264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Por indicación de la docente, el indicador 8 de la pauta (redacción del abstract, las conclusiones y la reflexión en inglés) no aplica a este equipo. La autoevaluación se realiza sobre los siete indicadores restantes, que suman una ponderación de 90.</w:t>
      </w:r>
    </w:p>
    <w:p>
      <w:pPr>
        <w:keepNext/>
        <w:pBdr>
          <w:bottom w:val="single" w:color="1F3864" w:sz="8" w:space="2"/>
        </w:pBdr>
        <w:spacing w:after="120" w:before="240" w:line="264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Mi participación en el avance</w:t>
      </w:r>
    </w:p>
    <w:p>
      <w:pPr>
        <w:spacing w:after="80" w:before="0" w:line="264"/>
      </w:pPr>
      <w:r>
        <w:rPr>
          <w:rFonts w:ascii="Calibri" w:cs="Calibri" w:eastAsia="Calibri" w:hAnsi="Calibri"/>
          <w:sz w:val="20"/>
          <w:szCs w:val="20"/>
        </w:rPr>
        <w:t xml:space="preserve">Según la carta Gantt, soy responsable de A1 (setup base de pfSense y tuning de Netmap, con Freddy Vásquez, semanas 1 y 2), de A3 (Suricata Inline IPS, con Kevin Retamales, semanas 5 y 6), de A6 (motor de correlación KRONOS, semanas 11 y 12) y de A8 (integración Gemini Live, semanas 14 y 15). Además, lidero la arquitectura y la coordinación técnica del equipo.</w:t>
      </w:r>
    </w:p>
    <w:p>
      <w:pPr>
        <w:spacing w:after="80" w:before="0" w:line="264"/>
      </w:pPr>
      <w:r>
        <w:rPr>
          <w:rFonts w:ascii="Calibri" w:cs="Calibri" w:eastAsia="Calibri" w:hAnsi="Calibri"/>
          <w:sz w:val="20"/>
          <w:szCs w:val="20"/>
        </w:rPr>
        <w:t xml:space="preserve">En este avance diseñé y desplegué la infraestructura del laboratorio: el borde público en AWS EC2 con túnel WireGuard hacia Proxmox VE (solución al CGNAT), las seis máquinas virtuales (VM100 a VM105) y el acceso administrativo del equipo por una tailnet separada. Implementé Suricata Inline en la WAN y en el troncal interno con el guard IPS de cierre ante fallos, apoyé a Kevin en la configuración de pfBlockerNG (A4) y elaboré las evidencias fechadas, la infraestructura como código (infra/aws e infra/proxmox), los informes técnicos de la semana 7 y la presentación de avance del 06/10/2026, integrados en la rama principal mediante el pull request #1.</w:t>
      </w:r>
    </w:p>
    <w:p>
      <w:pPr>
        <w:keepNext/>
        <w:pBdr>
          <w:bottom w:val="single" w:color="1F3864" w:sz="8" w:space="2"/>
        </w:pBdr>
        <w:spacing w:after="120" w:before="240" w:line="264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Pauta de autoevaluación (rúbrica)</w:t>
      </w:r>
    </w:p>
    <w:p>
      <w:pPr>
        <w:spacing w:after="100" w:before="0" w:line="264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Niveles: Completamente logrado (CL, 100 %) · Logrado (L, 60 %) · Logro incipiente (LI, 30 %) · No logrado (NL, 0 %). Puntaje = ponderación × % de logro.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650"/>
        <w:gridCol w:w="650"/>
        <w:gridCol w:w="750"/>
        <w:gridCol w:w="3044"/>
        <w:gridCol w:w="2644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Indicador de evaluación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Pond.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Nivel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Puntaje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Justificación (dónde se evidencia)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Qué debo mejorar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Propone ajustes al Proyecto APT considerando dificultades, facilitadores y retroalimentación.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Ante el CGNAT del enlace del laboratorio rediseñé el borde: IP elástica en AWS EC2 y túnel WireGuard hacia VM100, preservando la IP de origen sin SNAT (3 SYN iguales en wg0 y eth1). Ante la ventana de arranque fail-open de Suricata (≈70 s) agregué el guard IPS (alias KRONOS_IPS_GUARD), que cierra el tráfico en 0,926 s (WAN) y 1,177 s (troncal) y lo reabre solo cuando ambos motores están listos. Ajusté A1 a un perfil compatible con pfSense 2.9 / FreeBSD 16 tras detectar tres OID retirados, y en A4 la supresión de RFC 1918 y CGNAT en FireHOL. Se incorporó la retroalimentación docente: evidencia a nivel de sistema operativo y presentación de formato comercial.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el registro de cada ajuste con su causa, su fecha y su evidencia en los informes de avance.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Aplica una metodología que permite el logro de los objetivos propuestos, de acuerdo con los estándares de la disciplina.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Metodología iterativa e incremental por hitos de la carta Gantt, con criterios de aceptación medibles, estados de componente (PROVISIONED, CONFIGURED, TESTED, VALIDATED), pruebas con control positivo y negativo, e infraestructura como código versionada en Git con revisión mediante pull request antes de integrarla a la rama principal.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Integrar las ramas de trabajo a la rama principal apenas se cierre cada corte de avance.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Genera evidencias que dan cuenta del avance del Proyecto APT, de acuerdo con los estándares de la disciplina.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Evidencias fechadas (27/09, 01/10 y 02/10) con manifiesto, 26 capturas nativas de configuración y resultados medibles: A1 14 PASS, A2 16 PASS, Suricata con 26.628 firmas en la WAN y 26.629 en el troncal (0 fallidas), guard IPS con 27 muestras y 0 escapes y recuperación automática en 112,45 s, A4 con 12/12 DROP y transporte sin SNAT. Los scripts de prueba son reproducibles y no exponen credenciales.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Complementar los resúmenes visuales con las salidas nativas de consola de cada prueba.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Utiliza de manera precisa el lenguaje técnico de acuerdo con lo requerido por la disciplina.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Uso consistente de términos de redes y seguridad: Inline IPS sobre Netmap, fail-open y fail-closed, SID y flowbits, 802.1Q, SNAT, CGNAT (RFC 6598), WireGuard, IP elástica, tablas PF y estados de pfctl.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el nivel y explicar los términos menos comunes al presentar ante la comisión.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Utiliza reglas de redacción, ortografía y normas de citas y referencias.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Los informes técnicos usan redacción clara y precisa, distinguen lo validado de lo pendiente y remiten a la documentación oficial de cada tecnología. Esta autoevaluación incluye las referencias en formato APA 7.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Consolidar un apartado único de referencias APA 7 en el informe final del equipo.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 Cumple con el formato del informe de avance establecido por la disciplina.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informe sigue la estructura de la guía 2.4: resumen de avance, monitoreo del plan de trabajo con responsables y fechas, ajustes a partir del monitoreo y anexo de evidencias enlazadas.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Agregar portada e índice en la versión final del informe.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 Cumple con los indicadores de calidad requeridos en la presentación del informe de avance y final.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Los 11 indicadores de calidad del perfil de egreso están presentes en el diseño y en la implementación del proyecto (ver sección 2).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Completar la implementación de QoS (A7) y la ejecución del plan de monitoreo (A10).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 (indicadores 1 a 7)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90 %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90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Nivel global: Completamente logrado (90 de 90 puntos, equivalente a 100 %).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Prioridad: mantener el estándar de evidencias en A5 a A10.</w:t>
            </w:r>
          </w:p>
        </w:tc>
      </w:tr>
    </w:tbl>
    <w:p>
      <w:pPr>
        <w:keepNext/>
        <w:pBdr>
          <w:bottom w:val="single" w:color="1F3864" w:sz="8" w:space="2"/>
        </w:pBdr>
        <w:spacing w:after="120" w:before="240" w:line="264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Indicadores de calidad del perfil de egreso</w:t>
      </w:r>
    </w:p>
    <w:p>
      <w:pPr>
        <w:spacing w:after="100" w:before="0" w:line="264"/>
      </w:pPr>
      <w:r>
        <w:rPr>
          <w:rFonts w:ascii="Calibri" w:cs="Calibri" w:eastAsia="Calibri" w:hAnsi="Calibri"/>
          <w:sz w:val="20"/>
          <w:szCs w:val="20"/>
        </w:rPr>
        <w:t xml:space="preserve">Se seleccionaron los indicadores de calidad de las cinco competencias del perfil de egreso que se desarrollan en el proyecto y se verificó si están presentes en el informe.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2850"/>
        <w:gridCol w:w="1050"/>
        <w:gridCol w:w="3888"/>
      </w:tblGrid>
      <w:tr>
        <w:trPr>
          <w:cantSplit/>
          <w:tblHeader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Competencia del perfil de egreso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Indicador de calidad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¿Presente?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Dónde se evidencia / observación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Implementar una red LAN/WAN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 Implementa completamente y sin errores una red LAN/WAN para la conectividad de dispositivos fijos y móviles, según estándares y parámetros de seguridad.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WAN pública por AWS EC2 y WireGuard hacia pfSense; cuatro VLAN 802.1Q (CORP 10, DMZ 20, VOIP 30 y MGMT 99) con DHCP y aislamiento (16 PASS).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Implementar una red LAN/WAN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 Entrega evidencia relacionada con la simulación de la red LAN/WAN considerando dispositivos fijos o móviles.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Laboratorio de seis VM en Proxmox VE (VM100 a VM105), documentado en infra/proxmox y en las evidencias de A1, A2 y del transporte.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la red de datos convergente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 Habilita completamente y sin errores una red de datos convergente, considerando calidad de servicio y las necesidades del cliente.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Datos, servicios web, voz y gestión conviven en una misma infraestructura segmentada; la VLAN 30 está dedicada a la voz y su QoS se implementa en A7.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la red de datos convergente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 Evidencia aspectos de escalabilidad para la red de datos propuesta, de acuerdo con el modelo de capas.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segmentación por VLAN permite agregar segmentos sin rediseñar la topología; las tablas del firewall admiten 2.000.000 de entradas.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la red de datos convergente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 Incorpora tecnologías emergentes (SD-WAN, servicios cloud o automatización) para optimizar la red.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Borde en la nube (AWS EC2), infraestructura como código, guard IPS automatizado y actualización automática de listas y firmas.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sistemas operativos y servicios en red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 Diseña completamente y sin errores una propuesta para poner en marcha los servicios operativos de red, bajo una infraestructura convergente y escalable.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Servicios por segmento: DMZ web (DVWA y HAProxy), VoIP (Asterisk), gestión (kronos-mgmt) y corporativo.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sistemas operativos y servicios en red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 Incorpora un plan de mantenimiento preventivo para el buen funcionamiento de los servicios de red.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Actualización diaria de listas de reputación y GeoIP, firmas ET Open, límites y retención de logs de Suricata, orden de arranque de las VM y pruebas de verificación reejecutables.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sistemas operativos y servicios en red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 Integra nuevas tendencias tecnológicas en la habilitación de los servicios de red (virtualización en la nube).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Virtualización con Proxmox VE e infraestructura en AWS EC2.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Monitorear políticas de seguridad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 Presenta de forma completa y sin errores una solución que incorpora políticas de seguridad para asegurar los activos de la organización.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Denegación por defecto, aislamiento entre VLAN, IPS Inline en la WAN y en el troncal, reputación IP y GeoIP, cierre ante fallos (fail-closed) y acceso administrativo por una tailnet separada.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Monitorear políticas de seguridad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4.2 Diseña un plan para evaluar y monitorear de manera permanente las políticas de seguridad en la red.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Registro activo en las reglas de A4 y en Suricata (eve.json), guard IPS que supervisa el estado de los motores y motor de correlación KRONOS (A6) diseñado para analizar los eventos de forma continua.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Diseñar soluciones de conectividad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5.1 Diseña completamente y sin errores una solución de redes y telecomunicaciones que incorpore tendencias tecnológicas.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Arquitectura SOAR con IPS, motor de correlación, telefonía IP y agente de voz con IA (Gemini Live).</w:t>
            </w:r>
          </w:p>
        </w:tc>
      </w:tr>
    </w:tbl>
    <w:p>
      <w:pPr>
        <w:spacing w:after="10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11 de 11 indicadores presentes. Por ello, el indicador 7 de la rúbrica se autoevalúa como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Completamente logrado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</w:t>
      </w:r>
    </w:p>
    <w:p>
      <w:pPr>
        <w:keepNext/>
        <w:pBdr>
          <w:bottom w:val="single" w:color="1F3864" w:sz="8" w:space="2"/>
        </w:pBdr>
        <w:spacing w:after="120" w:before="240" w:line="264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Fortalezas y aspectos por mejorar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Fortalezas identificadas: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Visión integral de la arquitectura: el borde en la nube, el firewall, el IPS y los servicios se diseñaron como una cadena coherente (sin SNAT se preserva la IP de origen que necesitan GeoIP, la reputación y el motor KRONOS).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Las pruebas son medibles, reproducibles y separan con transparencia lo validado de lo pendiente.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La infraestructura está versionada como código, lo que permite reconstruir el laboratorio y facilita el trabajo del resto del equipo.</w:t>
      </w:r>
    </w:p>
    <w:p>
      <w:pPr>
        <w:spacing w:after="8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Aspectos por mejorar antes de la evaluación sumativa: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100"/>
        <w:gridCol w:w="1500"/>
        <w:gridCol w:w="3438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Acción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Fecha límite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Apoyar a Cristóbal Quezada en la publicación HTTPS de DVWA mediante HAProxy por el borde AWS (A5).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y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 de octubre (S10)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Servicio web publicado extremo a extremo.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Iniciar el motor de correlación KRONOS: ingesta de eve.json y wrapper de pfctl (A6).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y 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 de noviembre (S12)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Primer flujo de detección y bloqueo verificado.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Agregar salidas nativas de consola a las evidencias de cada prueba.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de noviembre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Evidencia a nivel de sistema operativo en todas las pruebas.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Consolidar portada, índice y referencias APA 7 en el informe del equipo.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y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de noviembre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Formato completo del informe.</w:t>
            </w:r>
          </w:p>
        </w:tc>
      </w:tr>
    </w:tbl>
    <w:p>
      <w:pPr>
        <w:keepNext/>
        <w:pBdr>
          <w:bottom w:val="single" w:color="1F3864" w:sz="8" w:space="2"/>
        </w:pBdr>
        <w:spacing w:after="120" w:before="240" w:line="264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Referencias</w:t>
      </w:r>
    </w:p>
    <w:p>
      <w:pPr>
        <w:spacing w:after="80" w:line="264"/>
        <w:ind w:left="567" w:hanging="567"/>
      </w:pPr>
      <w:r>
        <w:rPr>
          <w:rFonts w:ascii="Calibri" w:cs="Calibri" w:eastAsia="Calibri" w:hAnsi="Calibri"/>
          <w:sz w:val="20"/>
          <w:szCs w:val="20"/>
        </w:rPr>
        <w:t xml:space="preserve">Amazon Web Services. (s.f.).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Elastic IP addresses</w:t>
      </w:r>
      <w:r>
        <w:rPr>
          <w:rFonts w:ascii="Calibri" w:cs="Calibri" w:eastAsia="Calibri" w:hAnsi="Calibri"/>
          <w:sz w:val="20"/>
          <w:szCs w:val="20"/>
        </w:rPr>
        <w:t xml:space="preserve">. https://docs.aws.amazon.com/AWSEC2/latest/UserGuide/elastic-ip-addresses-eip.html</w:t>
      </w:r>
    </w:p>
    <w:p>
      <w:pPr>
        <w:spacing w:after="80" w:line="264"/>
        <w:ind w:left="567" w:hanging="567"/>
      </w:pPr>
      <w:r>
        <w:rPr>
          <w:rFonts w:ascii="Calibri" w:cs="Calibri" w:eastAsia="Calibri" w:hAnsi="Calibri"/>
          <w:sz w:val="20"/>
          <w:szCs w:val="20"/>
        </w:rPr>
        <w:t xml:space="preserve">Donenfeld, J. A. (s.f.).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WireGuard: fast, modern, secure VPN tunnel</w:t>
      </w:r>
      <w:r>
        <w:rPr>
          <w:rFonts w:ascii="Calibri" w:cs="Calibri" w:eastAsia="Calibri" w:hAnsi="Calibri"/>
          <w:sz w:val="20"/>
          <w:szCs w:val="20"/>
        </w:rPr>
        <w:t xml:space="preserve">. https://www.wireguard.com/</w:t>
      </w:r>
    </w:p>
    <w:p>
      <w:pPr>
        <w:spacing w:after="80" w:line="264"/>
        <w:ind w:left="567" w:hanging="567"/>
      </w:pPr>
      <w:r>
        <w:rPr>
          <w:rFonts w:ascii="Calibri" w:cs="Calibri" w:eastAsia="Calibri" w:hAnsi="Calibri"/>
          <w:sz w:val="20"/>
          <w:szCs w:val="20"/>
        </w:rPr>
        <w:t xml:space="preserve">Netgate. (s.f.).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pfSense software documentation</w:t>
      </w:r>
      <w:r>
        <w:rPr>
          <w:rFonts w:ascii="Calibri" w:cs="Calibri" w:eastAsia="Calibri" w:hAnsi="Calibri"/>
          <w:sz w:val="20"/>
          <w:szCs w:val="20"/>
        </w:rPr>
        <w:t xml:space="preserve">. https://docs.netgate.com/pfsense/en/latest/</w:t>
      </w:r>
    </w:p>
    <w:p>
      <w:pPr>
        <w:spacing w:after="80" w:line="264"/>
        <w:ind w:left="567" w:hanging="567"/>
      </w:pPr>
      <w:r>
        <w:rPr>
          <w:rFonts w:ascii="Calibri" w:cs="Calibri" w:eastAsia="Calibri" w:hAnsi="Calibri"/>
          <w:sz w:val="20"/>
          <w:szCs w:val="20"/>
        </w:rPr>
        <w:t xml:space="preserve">Open Information Security Foundation. (s.f.).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Suricata user guide</w:t>
      </w:r>
      <w:r>
        <w:rPr>
          <w:rFonts w:ascii="Calibri" w:cs="Calibri" w:eastAsia="Calibri" w:hAnsi="Calibri"/>
          <w:sz w:val="20"/>
          <w:szCs w:val="20"/>
        </w:rPr>
        <w:t xml:space="preserve">. https://docs.suricata.io/</w:t>
      </w:r>
    </w:p>
    <w:p>
      <w:pPr>
        <w:spacing w:after="80" w:line="264"/>
        <w:ind w:left="567" w:hanging="567"/>
      </w:pPr>
      <w:r>
        <w:rPr>
          <w:rFonts w:ascii="Calibri" w:cs="Calibri" w:eastAsia="Calibri" w:hAnsi="Calibri"/>
          <w:sz w:val="20"/>
          <w:szCs w:val="20"/>
        </w:rPr>
        <w:t xml:space="preserve">Proofpoint. (s.f.).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Emerging Threats Open ruleset</w:t>
      </w:r>
      <w:r>
        <w:rPr>
          <w:rFonts w:ascii="Calibri" w:cs="Calibri" w:eastAsia="Calibri" w:hAnsi="Calibri"/>
          <w:sz w:val="20"/>
          <w:szCs w:val="20"/>
        </w:rPr>
        <w:t xml:space="preserve">. https://rules.emergingthreats.net/</w:t>
      </w:r>
    </w:p>
    <w:p>
      <w:pPr>
        <w:spacing w:after="80" w:line="264"/>
        <w:ind w:left="567" w:hanging="567"/>
      </w:pPr>
      <w:r>
        <w:rPr>
          <w:rFonts w:ascii="Calibri" w:cs="Calibri" w:eastAsia="Calibri" w:hAnsi="Calibri"/>
          <w:sz w:val="20"/>
          <w:szCs w:val="20"/>
        </w:rPr>
        <w:t xml:space="preserve">Proxmox Server Solutions. (s.f.).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Proxmox VE administration guide</w:t>
      </w:r>
      <w:r>
        <w:rPr>
          <w:rFonts w:ascii="Calibri" w:cs="Calibri" w:eastAsia="Calibri" w:hAnsi="Calibri"/>
          <w:sz w:val="20"/>
          <w:szCs w:val="20"/>
        </w:rPr>
        <w:t xml:space="preserve">. https://pve.proxmox.com/pve-docs/</w:t>
      </w:r>
    </w:p>
    <w:p>
      <w:pPr>
        <w:spacing w:after="80" w:line="264"/>
        <w:ind w:left="567" w:hanging="567"/>
      </w:pPr>
      <w:r>
        <w:rPr>
          <w:rFonts w:ascii="Calibri" w:cs="Calibri" w:eastAsia="Calibri" w:hAnsi="Calibri"/>
          <w:sz w:val="20"/>
          <w:szCs w:val="20"/>
        </w:rPr>
        <w:t xml:space="preserve">Weil, J., Kuarsingh, V., Donley, C., Liljenstolpe, C. y Azinger, M. (2012).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IANA-reserved IPv4 prefix for shared address space</w:t>
      </w:r>
      <w:r>
        <w:rPr>
          <w:rFonts w:ascii="Calibri" w:cs="Calibri" w:eastAsia="Calibri" w:hAnsi="Calibri"/>
          <w:sz w:val="20"/>
          <w:szCs w:val="20"/>
        </w:rPr>
        <w:t xml:space="preserve"> (RFC 6598). Internet Engineering Task Force. https://www.rfc-editor.org/rfc/rfc6598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Autoevaluación Informe de avance Proyecto APT · Bruno Urrea Ortiz |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Informe de Avance Proyecto APT — Bruno Urrea Ortiz</dc:title>
  <dc:creator>Bruno Urrea Ortiz</dc:creator>
  <cp:lastModifiedBy>Un-named</cp:lastModifiedBy>
  <cp:revision>1</cp:revision>
  <dcterms:created xsi:type="dcterms:W3CDTF">2026-10-13T20:21:07.128Z</dcterms:created>
  <dcterms:modified xsi:type="dcterms:W3CDTF">2026-10-13T20:21:07.150Z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