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1E75C9"/>
          <w:sz w:val="64"/>
          <w:szCs w:val="64"/>
        </w:rPr>
        <w:t xml:space="preserve">FILON</w:t>
      </w:r>
    </w:p>
    <w:p>
      <w:pPr>
        <w:spacing w:after="40"/>
      </w:pPr>
      <w:r>
        <w:rPr>
          <w:color w:val="5B6673"/>
          <w:sz w:val="24"/>
          <w:szCs w:val="24"/>
        </w:rPr>
        <w:t xml:space="preserve">Agent d'achat intelligent</w:t>
      </w:r>
    </w:p>
    <w:p>
      <w:pPr>
        <w:spacing w:after="0" w:before="600"/>
      </w:pPr>
      <w:r>
        <w:rPr>
          <w:b/>
          <w:bCs/>
          <w:color w:val="0E1826"/>
          <w:sz w:val="40"/>
          <w:szCs w:val="40"/>
        </w:rPr>
        <w:t xml:space="preserve">Phase 2 — Ouverture des comptes d'affiliation</w:t>
      </w:r>
    </w:p>
    <w:p>
      <w:pPr>
        <w:spacing w:after="200"/>
      </w:pPr>
      <w:r>
        <w:rPr>
          <w:b/>
          <w:bCs/>
          <w:color w:val="0E1826"/>
          <w:sz w:val="40"/>
          <w:szCs w:val="40"/>
        </w:rPr>
        <w:t xml:space="preserve">et partenariats éditeur</w:t>
      </w:r>
    </w:p>
    <w:p>
      <w:pPr>
        <w:spacing w:after="60"/>
      </w:pPr>
      <w:r>
        <w:rPr>
          <w:color w:val="0E1826"/>
          <w:sz w:val="26"/>
          <w:szCs w:val="26"/>
        </w:rPr>
        <w:t xml:space="preserve">Procédure opérationnelle détaillée</w:t>
      </w:r>
    </w:p>
    <w:p>
      <w:pPr>
        <w:spacing w:after="600"/>
      </w:pPr>
      <w:r>
        <w:rPr>
          <w:i/>
          <w:iCs/>
          <w:color w:val="5B6673"/>
          <w:sz w:val="22"/>
          <w:szCs w:val="22"/>
        </w:rPr>
        <w:t xml:space="preserve">Document de travail à destination de l'assistant</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sz w:val="19"/>
                <w:szCs w:val="19"/>
              </w:rPr>
              <w:t xml:space="preserve">Version : </w:t>
            </w:r>
            <w:r>
              <w:rPr>
                <w:sz w:val="19"/>
                <w:szCs w:val="19"/>
              </w:rPr>
              <w:t xml:space="preserve">1.0</w:t>
            </w:r>
            <w:r>
              <w:rPr>
                <w:b/>
                <w:bCs/>
                <w:sz w:val="19"/>
                <w:szCs w:val="19"/>
              </w:rPr>
              <w:t xml:space="preserve">      Date : </w:t>
            </w:r>
            <w:r>
              <w:rPr>
                <w:sz w:val="19"/>
                <w:szCs w:val="19"/>
              </w:rPr>
              <w:t xml:space="preserve">20 juillet 2026</w:t>
            </w:r>
          </w:p>
          <w:p>
            <w:pPr>
              <w:spacing w:after="40" w:line="264"/>
            </w:pPr>
            <w:r>
              <w:rPr>
                <w:b/>
                <w:bCs/>
                <w:sz w:val="19"/>
                <w:szCs w:val="19"/>
              </w:rPr>
              <w:t xml:space="preserve">Porteur du projet : </w:t>
            </w:r>
            <w:r>
              <w:rPr>
                <w:sz w:val="19"/>
                <w:szCs w:val="19"/>
              </w:rPr>
              <w:t xml:space="preserve">Freddy Mvogo Eloundou — Bruxelles</w:t>
            </w:r>
          </w:p>
          <w:p>
            <w:pPr>
              <w:spacing w:after="40" w:line="264"/>
            </w:pPr>
            <w:r>
              <w:rPr>
                <w:b/>
                <w:bCs/>
                <w:sz w:val="19"/>
                <w:szCs w:val="19"/>
              </w:rPr>
              <w:t xml:space="preserve">Confidentialité : </w:t>
            </w:r>
            <w:r>
              <w:rPr>
                <w:sz w:val="19"/>
                <w:szCs w:val="19"/>
              </w:rPr>
              <w:t xml:space="preserve">interne. Ne pas diffuser hors de l'équipe FILON.</w:t>
            </w:r>
          </w:p>
        </w:tc>
      </w:tr>
    </w:tbl>
    <w:p>
      <w:r>
        <w:br w:type="page"/>
      </w:r>
    </w:p>
    <w:p>
      <w:pPr>
        <w:pStyle w:val="Heading1"/>
        <w:spacing w:after="140" w:before="320"/>
      </w:pPr>
      <w:r>
        <w:rPr>
          <w:b/>
          <w:bCs/>
          <w:color w:val="0E1826"/>
          <w:sz w:val="30"/>
          <w:szCs w:val="30"/>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b/>
          <w:bCs/>
          <w:color w:val="0E1826"/>
          <w:sz w:val="30"/>
          <w:szCs w:val="30"/>
        </w:rPr>
        <w:t xml:space="preserve">1. Objet du document</w:t>
      </w:r>
    </w:p>
    <w:p>
      <w:pPr>
        <w:spacing w:after="120" w:line="276"/>
      </w:pPr>
      <w:r>
        <w:t xml:space="preserve">Ce document décrit, étape par étape, la procédure pour ouvrir les comptes qui permettront à FILON d'accéder aux offres marchandes : réseaux d'affiliation, programmes marchands et plateformes de cashback. Il sert de feuille de route à l'assistant chargé de créer et de faire valider ces comptes.</w:t>
      </w:r>
    </w:p>
    <w:p>
      <w:pPr>
        <w:spacing w:after="120" w:line="276"/>
      </w:pPr>
      <w:r>
        <w:rPr>
          <w:b/>
          <w:bCs/>
        </w:rPr>
        <w:t xml:space="preserve">Objectif concret : </w:t>
      </w:r>
      <w:r>
        <w:t xml:space="preserve">obtenir, pour chaque source, les identifiants et accès techniques (identifiant éditeur, clés d'API, flux produits, liens de tracking) que l'équipe technique branchera sur le backend FILON en Phase 2.</w:t>
      </w:r>
    </w:p>
    <w:tbl>
      <w:tblPr>
        <w:tblW w:type="dxa" w:w="9020"/>
        <w:tblBorders>
          <w:top w:val="single" w:color="E8F3EC" w:sz="2"/>
          <w:left w:val="single" w:color="0C8F86" w:sz="24"/>
          <w:bottom w:val="single" w:color="E8F3EC" w:sz="2"/>
          <w:right w:val="single" w:color="E8F3EC" w:sz="2"/>
          <w:insideH w:val="none"/>
          <w:insideV w:val="none"/>
        </w:tblBorders>
      </w:tblPr>
      <w:tblGrid>
        <w:gridCol w:w="9020"/>
      </w:tblGrid>
      <w:tr>
        <w:tc>
          <w:tcPr>
            <w:tcW w:type="dxa" w:w="9020"/>
            <w:shd w:fill="E8F3EC" w:color="auto" w:val="clear"/>
            <w:tcMar>
              <w:top w:type="dxa" w:w="120"/>
              <w:left w:type="dxa" w:w="160"/>
              <w:bottom w:type="dxa" w:w="120"/>
              <w:right w:type="dxa" w:w="140"/>
            </w:tcMar>
          </w:tcPr>
          <w:p>
            <w:pPr>
              <w:spacing w:after="40" w:line="264"/>
            </w:pPr>
            <w:r>
              <w:rPr>
                <w:b/>
                <w:bCs/>
                <w:color w:val="0E1826"/>
                <w:sz w:val="19"/>
                <w:szCs w:val="19"/>
              </w:rPr>
              <w:t xml:space="preserve">À la fin de la démarche, on doit disposer, réseau par réseau, de : </w:t>
            </w:r>
          </w:p>
          <w:p>
            <w:pPr>
              <w:spacing w:after="40" w:line="264"/>
            </w:pPr>
            <w:r>
              <w:rPr>
                <w:sz w:val="19"/>
                <w:szCs w:val="19"/>
              </w:rPr>
              <w:t xml:space="preserve">1) un compte éditeur validé  ·  2) l'identifiant éditeur (Publisher ID)  ·  3) les clés d'API  ·  4) l'URL du flux produits  ·  5) le format des liens de tracking (deeplink).</w:t>
            </w:r>
          </w:p>
        </w:tc>
      </w:tr>
    </w:tbl>
    <w:p>
      <w:pPr>
        <w:pStyle w:val="Heading1"/>
        <w:spacing w:after="140" w:before="320"/>
      </w:pPr>
      <w:r>
        <w:rPr>
          <w:b/>
          <w:bCs/>
          <w:color w:val="0E1826"/>
          <w:sz w:val="30"/>
          <w:szCs w:val="30"/>
        </w:rPr>
        <w:t xml:space="preserve">2. Comment fonctionne l'affiliation (rappel)</w:t>
      </w:r>
    </w:p>
    <w:p>
      <w:pPr>
        <w:spacing w:after="120" w:line="276"/>
      </w:pPr>
      <w:r>
        <w:t xml:space="preserve">FILON recommande le meilleur achat à l'utilisateur. Quand l'utilisateur suit la recommandation et achète, le marchand verse une commission d'apport. Cette commission transite par un réseau d'affiliation qui assure le suivi (tracking) et le paiement. FILON reste 100 % gratuit pour l'utilisateur : la commission ne change pas son prix.</w:t>
      </w:r>
    </w:p>
    <w:p>
      <w:pPr>
        <w:spacing w:after="120" w:line="276"/>
      </w:pPr>
      <w:r>
        <w:t xml:space="preserve">Trois éléments techniques nous intéressent pour chaque marchand : </w:t>
      </w:r>
    </w:p>
    <w:p>
      <w:pPr>
        <w:pStyle w:val="ListParagraph"/>
        <w:numPr>
          <w:ilvl w:val="0"/>
          <w:numId w:val="1"/>
        </w:numPr>
        <w:spacing w:after="60" w:line="264"/>
      </w:pPr>
      <w:r>
        <w:rPr>
          <w:b/>
          <w:bCs/>
        </w:rPr>
        <w:t xml:space="preserve">Le flux produits (data feed) : </w:t>
      </w:r>
      <w:r>
        <w:t xml:space="preserve">catalogue avec prix, disponibilité, images. C'est ce qui alimente la base produit de FILON.</w:t>
      </w:r>
    </w:p>
    <w:p>
      <w:pPr>
        <w:pStyle w:val="ListParagraph"/>
        <w:numPr>
          <w:ilvl w:val="0"/>
          <w:numId w:val="1"/>
        </w:numPr>
        <w:spacing w:after="60" w:line="264"/>
      </w:pPr>
      <w:r>
        <w:rPr>
          <w:b/>
          <w:bCs/>
        </w:rPr>
        <w:t xml:space="preserve">Le lien de tracking (deeplink) : </w:t>
      </w:r>
      <w:r>
        <w:t xml:space="preserve">l'URL affiliée vers la page produit, qui attribue la vente à FILON.</w:t>
      </w:r>
    </w:p>
    <w:p>
      <w:pPr>
        <w:pStyle w:val="ListParagraph"/>
        <w:numPr>
          <w:ilvl w:val="0"/>
          <w:numId w:val="1"/>
        </w:numPr>
        <w:spacing w:after="60" w:line="264"/>
      </w:pPr>
      <w:r>
        <w:rPr>
          <w:b/>
          <w:bCs/>
        </w:rPr>
        <w:t xml:space="preserve">L'API de reporting : </w:t>
      </w:r>
      <w:r>
        <w:t xml:space="preserve">pour suivre les commissions et taux de conversion.</w:t>
      </w:r>
    </w:p>
    <w:p>
      <w:pPr>
        <w:spacing w:after="120" w:line="276"/>
      </w:pPr>
      <w:r>
        <w:rPr>
          <w:i/>
          <w:iCs/>
          <w:color w:val="5B6673"/>
        </w:rPr>
        <w:t xml:space="preserve">Vocabulaire utile : </w:t>
      </w:r>
      <w:r>
        <w:rPr>
          <w:i/>
          <w:iCs/>
          <w:color w:val="5B6673"/>
        </w:rPr>
        <w:t xml:space="preserve">« éditeur » (publisher/affiliate) = nous, FILON. « Annonceur » (advertiser/merchant) = le marchand. « Réseau » = l'intermédiaire (Awin, Rakuten…). Voir le glossaire en annexe.</w:t>
      </w:r>
    </w:p>
    <w:p>
      <w:pPr>
        <w:pStyle w:val="Heading1"/>
        <w:spacing w:after="140" w:before="320"/>
      </w:pPr>
      <w:r>
        <w:rPr>
          <w:b/>
          <w:bCs/>
          <w:color w:val="0E1826"/>
          <w:sz w:val="30"/>
          <w:szCs w:val="30"/>
        </w:rPr>
        <w:t xml:space="preserve">3. Les trois types d'acteurs à contacter</w:t>
      </w:r>
    </w:p>
    <w:p>
      <w:pPr>
        <w:spacing w:after="120" w:line="276"/>
      </w:pPr>
      <w:r>
        <w:t xml:space="preserve">On distingue trois familles. La priorité absolue en Phase 2 porte sur les réseaux d'affiliation, car un seul compte réseau donne accès à des centaines de marchands d'un coup.</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500"/>
        <w:gridCol w:w="6520"/>
      </w:tblGrid>
      <w:tr>
        <w:trPr>
          <w:tblHeader/>
        </w:trPr>
        <w:tc>
          <w:tcPr>
            <w:tcW w:type="dxa" w:w="2500"/>
            <w:shd w:fill="0E1826" w:color="auto" w:val="clear"/>
            <w:tcMar>
              <w:top w:type="dxa" w:w="60"/>
              <w:left w:type="dxa" w:w="90"/>
              <w:bottom w:type="dxa" w:w="60"/>
              <w:right w:type="dxa" w:w="90"/>
            </w:tcMar>
          </w:tcPr>
          <w:p>
            <w:pPr>
              <w:spacing w:after="40" w:line="252"/>
            </w:pPr>
            <w:r>
              <w:rPr>
                <w:b/>
                <w:bCs/>
                <w:color w:val="FFFFFF"/>
                <w:sz w:val="19"/>
                <w:szCs w:val="19"/>
              </w:rPr>
              <w:t xml:space="preserve">Famille</w:t>
            </w:r>
          </w:p>
        </w:tc>
        <w:tc>
          <w:tcPr>
            <w:tcW w:type="dxa" w:w="6520"/>
            <w:shd w:fill="0E1826" w:color="auto" w:val="clear"/>
            <w:tcMar>
              <w:top w:type="dxa" w:w="60"/>
              <w:left w:type="dxa" w:w="90"/>
              <w:bottom w:type="dxa" w:w="60"/>
              <w:right w:type="dxa" w:w="90"/>
            </w:tcMar>
          </w:tcPr>
          <w:p>
            <w:pPr>
              <w:spacing w:after="40" w:line="252"/>
            </w:pPr>
            <w:r>
              <w:rPr>
                <w:b/>
                <w:bCs/>
                <w:color w:val="FFFFFF"/>
                <w:sz w:val="19"/>
                <w:szCs w:val="19"/>
              </w:rPr>
              <w:t xml:space="preserve">Rôle et priorité</w:t>
            </w:r>
          </w:p>
        </w:tc>
      </w:tr>
      <w:tr>
        <w:tc>
          <w:tcPr>
            <w:tcW w:type="dxa" w:w="2500"/>
            <w:shd w:fill="FFFFFF" w:color="auto" w:val="clear"/>
            <w:tcMar>
              <w:top w:type="dxa" w:w="60"/>
              <w:left w:type="dxa" w:w="90"/>
              <w:bottom w:type="dxa" w:w="60"/>
              <w:right w:type="dxa" w:w="90"/>
            </w:tcMar>
          </w:tcPr>
          <w:p>
            <w:pPr>
              <w:spacing w:after="40" w:line="252"/>
            </w:pPr>
            <w:r>
              <w:rPr>
                <w:sz w:val="19"/>
                <w:szCs w:val="19"/>
              </w:rPr>
              <w:t xml:space="preserve">Réseaux d'affiliation</w:t>
            </w:r>
          </w:p>
        </w:tc>
        <w:tc>
          <w:tcPr>
            <w:tcW w:type="dxa" w:w="6520"/>
            <w:shd w:fill="FFFFFF" w:color="auto" w:val="clear"/>
            <w:tcMar>
              <w:top w:type="dxa" w:w="60"/>
              <w:left w:type="dxa" w:w="90"/>
              <w:bottom w:type="dxa" w:w="60"/>
              <w:right w:type="dxa" w:w="90"/>
            </w:tcMar>
          </w:tcPr>
          <w:p>
            <w:pPr>
              <w:spacing w:after="40" w:line="252"/>
            </w:pPr>
            <w:r>
              <w:rPr>
                <w:sz w:val="19"/>
                <w:szCs w:val="19"/>
              </w:rPr>
              <w:t xml:space="preserve">Intermédiaires qui regroupent de nombreux marchands. Un compte = accès à des centaines de programmes, un flux produits agrégé et une API unique. PRIORITÉ 1.</w:t>
            </w:r>
          </w:p>
        </w:tc>
      </w:tr>
      <w:tr>
        <w:tc>
          <w:tcPr>
            <w:tcW w:type="dxa" w:w="2500"/>
            <w:shd w:fill="EEF3F8" w:color="auto" w:val="clear"/>
            <w:tcMar>
              <w:top w:type="dxa" w:w="60"/>
              <w:left w:type="dxa" w:w="90"/>
              <w:bottom w:type="dxa" w:w="60"/>
              <w:right w:type="dxa" w:w="90"/>
            </w:tcMar>
          </w:tcPr>
          <w:p>
            <w:pPr>
              <w:spacing w:after="40" w:line="252"/>
            </w:pPr>
            <w:r>
              <w:rPr>
                <w:sz w:val="19"/>
                <w:szCs w:val="19"/>
              </w:rPr>
              <w:t xml:space="preserve">Programmes marchands directs</w:t>
            </w:r>
          </w:p>
        </w:tc>
        <w:tc>
          <w:tcPr>
            <w:tcW w:type="dxa" w:w="6520"/>
            <w:shd w:fill="EEF3F8" w:color="auto" w:val="clear"/>
            <w:tcMar>
              <w:top w:type="dxa" w:w="60"/>
              <w:left w:type="dxa" w:w="90"/>
              <w:bottom w:type="dxa" w:w="60"/>
              <w:right w:type="dxa" w:w="90"/>
            </w:tcMar>
          </w:tcPr>
          <w:p>
            <w:pPr>
              <w:spacing w:after="40" w:line="252"/>
            </w:pPr>
            <w:r>
              <w:rPr>
                <w:sz w:val="19"/>
                <w:szCs w:val="19"/>
              </w:rPr>
              <w:t xml:space="preserve">Certains marchands gèrent leur propre programme (ex. Amazon Partenaires). À ouvrir en direct, en plus des réseaux. PRIORITÉ 2.</w:t>
            </w:r>
          </w:p>
        </w:tc>
      </w:tr>
      <w:tr>
        <w:tc>
          <w:tcPr>
            <w:tcW w:type="dxa" w:w="2500"/>
            <w:shd w:fill="FFFFFF" w:color="auto" w:val="clear"/>
            <w:tcMar>
              <w:top w:type="dxa" w:w="60"/>
              <w:left w:type="dxa" w:w="90"/>
              <w:bottom w:type="dxa" w:w="60"/>
              <w:right w:type="dxa" w:w="90"/>
            </w:tcMar>
          </w:tcPr>
          <w:p>
            <w:pPr>
              <w:spacing w:after="40" w:line="252"/>
            </w:pPr>
            <w:r>
              <w:rPr>
                <w:sz w:val="19"/>
                <w:szCs w:val="19"/>
              </w:rPr>
              <w:t xml:space="preserve">Plateformes de cashback</w:t>
            </w:r>
          </w:p>
        </w:tc>
        <w:tc>
          <w:tcPr>
            <w:tcW w:type="dxa" w:w="6520"/>
            <w:shd w:fill="FFFFFF" w:color="auto" w:val="clear"/>
            <w:tcMar>
              <w:top w:type="dxa" w:w="60"/>
              <w:left w:type="dxa" w:w="90"/>
              <w:bottom w:type="dxa" w:w="60"/>
              <w:right w:type="dxa" w:w="90"/>
            </w:tcMar>
          </w:tcPr>
          <w:p>
            <w:pPr>
              <w:spacing w:after="40" w:line="252"/>
            </w:pPr>
            <w:r>
              <w:rPr>
                <w:sz w:val="19"/>
                <w:szCs w:val="19"/>
              </w:rPr>
              <w:t xml:space="preserve">iGraal, Poulpeo, Widilo, Joko… Ce sont à la fois des concurrents et des sources de données comparées par FILON. Contact commercial / partenariat plus tard. PRIORITÉ 3.</w:t>
            </w:r>
          </w:p>
        </w:tc>
      </w:tr>
    </w:tbl>
    <w:p>
      <w:r>
        <w:br w:type="page"/>
      </w:r>
    </w:p>
    <w:p>
      <w:pPr>
        <w:pStyle w:val="Heading1"/>
        <w:spacing w:after="140" w:before="320"/>
      </w:pPr>
      <w:r>
        <w:rPr>
          <w:b/>
          <w:bCs/>
          <w:color w:val="0E1826"/>
          <w:sz w:val="30"/>
          <w:szCs w:val="30"/>
        </w:rPr>
        <w:t xml:space="preserve">4. Prérequis indispensables avant toute inscription</w:t>
      </w:r>
    </w:p>
    <w:p>
      <w:pPr>
        <w:spacing w:after="120" w:line="276"/>
      </w:pPr>
      <w:r>
        <w:t xml:space="preserve">Les réseaux vérifient manuellement chaque candidature. Un dossier incomplet est refusé ou mis en attente. Tout ce qui suit doit être prêt AVANT de créer le moindre compte.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3000"/>
        <w:gridCol w:w="4520"/>
        <w:gridCol w:w="1500"/>
      </w:tblGrid>
      <w:tr>
        <w:trPr>
          <w:tblHeader/>
        </w:trPr>
        <w:tc>
          <w:tcPr>
            <w:tcW w:type="dxa" w:w="3000"/>
            <w:shd w:fill="0E1826" w:color="auto" w:val="clear"/>
            <w:tcMar>
              <w:top w:type="dxa" w:w="60"/>
              <w:left w:type="dxa" w:w="90"/>
              <w:bottom w:type="dxa" w:w="60"/>
              <w:right w:type="dxa" w:w="90"/>
            </w:tcMar>
          </w:tcPr>
          <w:p>
            <w:pPr>
              <w:spacing w:after="40" w:line="252"/>
            </w:pPr>
            <w:r>
              <w:rPr>
                <w:b/>
                <w:bCs/>
                <w:color w:val="FFFFFF"/>
                <w:sz w:val="19"/>
                <w:szCs w:val="19"/>
              </w:rPr>
              <w:t xml:space="preserve">Prérequis</w:t>
            </w:r>
          </w:p>
        </w:tc>
        <w:tc>
          <w:tcPr>
            <w:tcW w:type="dxa" w:w="4520"/>
            <w:shd w:fill="0E1826" w:color="auto" w:val="clear"/>
            <w:tcMar>
              <w:top w:type="dxa" w:w="60"/>
              <w:left w:type="dxa" w:w="90"/>
              <w:bottom w:type="dxa" w:w="60"/>
              <w:right w:type="dxa" w:w="90"/>
            </w:tcMar>
          </w:tcPr>
          <w:p>
            <w:pPr>
              <w:spacing w:after="40" w:line="252"/>
            </w:pPr>
            <w:r>
              <w:rPr>
                <w:b/>
                <w:bCs/>
                <w:color w:val="FFFFFF"/>
                <w:sz w:val="19"/>
                <w:szCs w:val="19"/>
              </w:rPr>
              <w:t xml:space="preserve">Détail</w:t>
            </w:r>
          </w:p>
        </w:tc>
        <w:tc>
          <w:tcPr>
            <w:tcW w:type="dxa" w:w="1500"/>
            <w:shd w:fill="0E1826" w:color="auto" w:val="clear"/>
            <w:tcMar>
              <w:top w:type="dxa" w:w="60"/>
              <w:left w:type="dxa" w:w="90"/>
              <w:bottom w:type="dxa" w:w="60"/>
              <w:right w:type="dxa" w:w="90"/>
            </w:tcMar>
          </w:tcPr>
          <w:p>
            <w:pPr>
              <w:spacing w:after="40" w:line="252"/>
            </w:pPr>
            <w:r>
              <w:rPr>
                <w:b/>
                <w:bCs/>
                <w:color w:val="FFFFFF"/>
                <w:sz w:val="19"/>
                <w:szCs w:val="19"/>
              </w:rPr>
              <w:t xml:space="preserve">Statut</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Entité juridique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Ricardo Aimon, entreprise individuelle. BCE et TVA : BE 0797.756.902 (actif).</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OK</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Coordonnées bancaires</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IBAN NL44 BUNQ 2201 4637 43 · BIC BUNQNL2A (bunq), au nom de Freddy Mvogo Eloundou.</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OK</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Site web en ligne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filon.be accessible publiquement, en HTTPS, avec du contenu réel (pas un site « en construction »).</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OK</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Pages légales</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Mentions légales, Politique de confidentialité (RGPD), Politique cookies, Conditions, À propos, Contact — toutes accessibles depuis le pied de page.</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vérifier</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E-mails professionnels</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contact@filon.be (créé, actif). Utiliser cette adresse pour toutes les candidatures ; éviter les adresses gmail.</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OK</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Descriptif du site</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Un paragraphe clair : ce que fait FILON, l'audience visée (Belgique francophone), les méthodes de promotion (comparaison, extension, contenu éditorial).</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rédiger</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Trafic / audience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Même modeste au lancement : préparer une estimation honnête (visites/mois, canaux). Ne jamais gonfler les chiffres.</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À préparer</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Identité du responsable</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Nom, fonction, pièce d'identité éventuelle (certains réseaux la demandent pour la validation KYC).</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préparer</w:t>
            </w:r>
          </w:p>
        </w:tc>
      </w:tr>
    </w:tbl>
    <w:p>
      <w:pPr>
        <w:spacing w:after="80"/>
      </w:pPr>
      <w:r>
        <w:t xml:space="preserve"/>
      </w:r>
    </w:p>
    <w:tbl>
      <w:tblPr>
        <w:tblW w:type="dxa" w:w="9020"/>
        <w:tblBorders>
          <w:top w:val="single" w:color="FBEEE6" w:sz="2"/>
          <w:left w:val="single" w:color="C2410C" w:sz="24"/>
          <w:bottom w:val="single" w:color="FBEEE6" w:sz="2"/>
          <w:right w:val="single" w:color="FBEEE6" w:sz="2"/>
          <w:insideH w:val="none"/>
          <w:insideV w:val="none"/>
        </w:tblBorders>
      </w:tblPr>
      <w:tblGrid>
        <w:gridCol w:w="9020"/>
      </w:tblGrid>
      <w:tr>
        <w:tc>
          <w:tcPr>
            <w:tcW w:type="dxa" w:w="9020"/>
            <w:shd w:fill="FBEEE6" w:color="auto" w:val="clear"/>
            <w:tcMar>
              <w:top w:type="dxa" w:w="120"/>
              <w:left w:type="dxa" w:w="160"/>
              <w:bottom w:type="dxa" w:w="120"/>
              <w:right w:type="dxa" w:w="140"/>
            </w:tcMar>
          </w:tcPr>
          <w:p>
            <w:pPr>
              <w:spacing w:after="40" w:line="264"/>
            </w:pPr>
            <w:r>
              <w:rPr>
                <w:b/>
                <w:bCs/>
                <w:color w:val="9A3412"/>
                <w:sz w:val="19"/>
                <w:szCs w:val="19"/>
              </w:rPr>
              <w:t xml:space="preserve">Point de vigilance Belgique. </w:t>
            </w:r>
            <w:r>
              <w:rPr>
                <w:sz w:val="19"/>
                <w:szCs w:val="19"/>
              </w:rPr>
              <w:t xml:space="preserve">Renseigner le numéro BCE et la TVA belge dès le départ. Plusieurs réseaux (Awin, Rakuten) réclament une entité déclarée pour verser les commissions. Sans TVA valide, les paiements peuvent être bloqués.</w:t>
            </w:r>
          </w:p>
        </w:tc>
      </w:tr>
    </w:tbl>
    <w:p>
      <w:pPr>
        <w:pStyle w:val="Heading1"/>
        <w:spacing w:after="140" w:before="320"/>
      </w:pPr>
      <w:r>
        <w:rPr>
          <w:b/>
          <w:bCs/>
          <w:color w:val="0E1826"/>
          <w:sz w:val="30"/>
          <w:szCs w:val="30"/>
        </w:rPr>
        <w:t xml:space="preserve">5. Fiche d'identité éditeur (à préparer une seule fois)</w:t>
      </w:r>
    </w:p>
    <w:p>
      <w:pPr>
        <w:spacing w:after="120" w:line="276"/>
      </w:pPr>
      <w:r>
        <w:t xml:space="preserve">Ces informations seront redemandées à chaque inscription. Les rassembler dans un seul fichier accélère toute la démarche. Remplir les champs entre crochets.</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3200"/>
        <w:gridCol w:w="5820"/>
      </w:tblGrid>
      <w:tr>
        <w:trPr>
          <w:tblHeader/>
        </w:trPr>
        <w:tc>
          <w:tcPr>
            <w:tcW w:type="dxa" w:w="3200"/>
            <w:shd w:fill="0E1826" w:color="auto" w:val="clear"/>
            <w:tcMar>
              <w:top w:type="dxa" w:w="60"/>
              <w:left w:type="dxa" w:w="90"/>
              <w:bottom w:type="dxa" w:w="60"/>
              <w:right w:type="dxa" w:w="90"/>
            </w:tcMar>
          </w:tcPr>
          <w:p>
            <w:pPr>
              <w:spacing w:after="40" w:line="252"/>
            </w:pPr>
            <w:r>
              <w:rPr>
                <w:b/>
                <w:bCs/>
                <w:color w:val="FFFFFF"/>
                <w:sz w:val="19"/>
                <w:szCs w:val="19"/>
              </w:rPr>
              <w:t xml:space="preserve">Champ</w:t>
            </w:r>
          </w:p>
        </w:tc>
        <w:tc>
          <w:tcPr>
            <w:tcW w:type="dxa" w:w="5820"/>
            <w:shd w:fill="0E1826" w:color="auto" w:val="clear"/>
            <w:tcMar>
              <w:top w:type="dxa" w:w="60"/>
              <w:left w:type="dxa" w:w="90"/>
              <w:bottom w:type="dxa" w:w="60"/>
              <w:right w:type="dxa" w:w="90"/>
            </w:tcMar>
          </w:tcPr>
          <w:p>
            <w:pPr>
              <w:spacing w:after="40" w:line="252"/>
            </w:pPr>
            <w:r>
              <w:rPr>
                <w:b/>
                <w:bCs/>
                <w:color w:val="FFFFFF"/>
                <w:sz w:val="19"/>
                <w:szCs w:val="19"/>
              </w:rPr>
              <w:t xml:space="preserve">Valeur</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Dénomination légale</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Ricardo Aimon (entreprise individuelle, personne physique)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Numéro d'entreprise (BCE)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BE 0797.756.902</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Numéro de TVA</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BE 0797.756.902</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Adresse du siège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Chaussée de Stockel 406, 1150 Woluwe-Saint-Pierre, Belgique</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Site web</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https://filon.be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Catégorie / secteur</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Comparateur &amp; assistant d'achat (shopping, bons plans, cashback)</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Pays de l'audience</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Belgique (FR/NL), puis France et francophonie européenne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Langue du site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Français (néerlandais à venir)</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E-mail de contact</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contact@filon.be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Responsable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Freddy Mvogo Eloundou</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Titulaire du compte</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Freddy MVOGO ELOUNDOU</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Banque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bunq</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IBAN</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NL44 BUNQ 2201 4637 43</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BIC / SWIFT</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BUNQNL2A (forme internationale : BUNQNL2AXXX)</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Méthodes de promotion</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Comparaison de prix, cashback et codes promo ; extension navigateur ; contenu éditorial (guides d'achat)</w:t>
            </w:r>
          </w:p>
        </w:tc>
      </w:tr>
    </w:tbl>
    <w:p>
      <w:r>
        <w:br w:type="page"/>
      </w:r>
    </w:p>
    <w:p>
      <w:pPr>
        <w:pStyle w:val="Heading1"/>
        <w:spacing w:after="140" w:before="320"/>
      </w:pPr>
      <w:r>
        <w:rPr>
          <w:b/>
          <w:bCs/>
          <w:color w:val="0E1826"/>
          <w:sz w:val="30"/>
          <w:szCs w:val="30"/>
        </w:rPr>
        <w:t xml:space="preserve">6. Procédure générique d'inscription (à répéter pour chaque réseau)</w:t>
      </w:r>
    </w:p>
    <w:p>
      <w:pPr>
        <w:spacing w:after="120" w:line="276"/>
      </w:pPr>
      <w:r>
        <w:t xml:space="preserve">La démarche est similaire d'un réseau à l'autre. Voici les étapes communes ; les particularités de chaque réseau sont détaillées à la section 7.</w:t>
      </w:r>
    </w:p>
    <w:p>
      <w:pPr>
        <w:pStyle w:val="ListParagraph"/>
        <w:numPr>
          <w:ilvl w:val="0"/>
          <w:numId w:val="2"/>
        </w:numPr>
        <w:spacing w:after="70" w:line="264"/>
      </w:pPr>
      <w:r>
        <w:t xml:space="preserve">Créer le compte éditeur (« Publisher » / « Affiliate ») sur le site du réseau avec l'e-mail professionnel.</w:t>
      </w:r>
    </w:p>
    <w:p>
      <w:pPr>
        <w:pStyle w:val="ListParagraph"/>
        <w:numPr>
          <w:ilvl w:val="0"/>
          <w:numId w:val="2"/>
        </w:numPr>
        <w:spacing w:after="70" w:line="264"/>
      </w:pPr>
      <w:r>
        <w:t xml:space="preserve">Renseigner l'entité (BCE, TVA, adresse) et le site filon.be.</w:t>
      </w:r>
    </w:p>
    <w:p>
      <w:pPr>
        <w:pStyle w:val="ListParagraph"/>
        <w:numPr>
          <w:ilvl w:val="0"/>
          <w:numId w:val="2"/>
        </w:numPr>
        <w:spacing w:after="70" w:line="264"/>
      </w:pPr>
      <w:r>
        <w:t xml:space="preserve">Décrire le site et les méthodes de promotion (copier le descriptif de la section 9).</w:t>
      </w:r>
    </w:p>
    <w:p>
      <w:pPr>
        <w:pStyle w:val="ListParagraph"/>
        <w:numPr>
          <w:ilvl w:val="0"/>
          <w:numId w:val="2"/>
        </w:numPr>
        <w:spacing w:after="70" w:line="264"/>
      </w:pPr>
      <w:r>
        <w:t xml:space="preserve">Ajouter les coordonnées bancaires (IBAN/BIC) et compléter le volet fiscal si demandé.</w:t>
      </w:r>
    </w:p>
    <w:p>
      <w:pPr>
        <w:pStyle w:val="ListParagraph"/>
        <w:numPr>
          <w:ilvl w:val="0"/>
          <w:numId w:val="2"/>
        </w:numPr>
        <w:spacing w:after="70" w:line="264"/>
      </w:pPr>
      <w:r>
        <w:t xml:space="preserve">Soumettre la candidature et attendre la validation du réseau (délai variable, voir fiches).</w:t>
      </w:r>
    </w:p>
    <w:p>
      <w:pPr>
        <w:pStyle w:val="ListParagraph"/>
        <w:numPr>
          <w:ilvl w:val="0"/>
          <w:numId w:val="2"/>
        </w:numPr>
        <w:spacing w:after="70" w:line="264"/>
      </w:pPr>
      <w:r>
        <w:t xml:space="preserve">Une fois le compte validé : postuler aux programmes marchands prioritaires un par un (chaque marchand valide séparément).</w:t>
      </w:r>
    </w:p>
    <w:p>
      <w:pPr>
        <w:pStyle w:val="ListParagraph"/>
        <w:numPr>
          <w:ilvl w:val="0"/>
          <w:numId w:val="2"/>
        </w:numPr>
        <w:spacing w:after="70" w:line="264"/>
      </w:pPr>
      <w:r>
        <w:t xml:space="preserve">Récupérer les accès techniques : identifiant éditeur, clé d'API, URL du flux produits, format de deeplink.</w:t>
      </w:r>
    </w:p>
    <w:p>
      <w:pPr>
        <w:pStyle w:val="ListParagraph"/>
        <w:numPr>
          <w:ilvl w:val="0"/>
          <w:numId w:val="2"/>
        </w:numPr>
        <w:spacing w:after="70" w:line="264"/>
      </w:pPr>
      <w:r>
        <w:t xml:space="preserve">Consigner ces accès dans le tableau de suivi (section 11) et les transmettre à l'équipe technique.</w:t>
      </w:r>
    </w:p>
    <w:p>
      <w:pPr>
        <w:spacing w:after="80"/>
      </w:pPr>
      <w:r>
        <w:t xml:space="preserve"/>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color w:val="0E1826"/>
                <w:sz w:val="19"/>
                <w:szCs w:val="19"/>
              </w:rPr>
              <w:t xml:space="preserve">Règle d'or. </w:t>
            </w:r>
            <w:r>
              <w:rPr>
                <w:sz w:val="19"/>
                <w:szCs w:val="19"/>
              </w:rPr>
              <w:t xml:space="preserve">Ne jamais mélanger comptes personnels et professionnels. Un seul compte par réseau, au nom de l'entité, avec un mot de passe stocké dans le gestionnaire de mots de passe de l'équipe. Activer la double authentification partout.</w:t>
            </w:r>
          </w:p>
        </w:tc>
      </w:tr>
    </w:tbl>
    <w:p>
      <w:r>
        <w:br w:type="page"/>
      </w:r>
    </w:p>
    <w:p>
      <w:pPr>
        <w:pStyle w:val="Heading1"/>
        <w:spacing w:after="140" w:before="320"/>
      </w:pPr>
      <w:r>
        <w:rPr>
          <w:b/>
          <w:bCs/>
          <w:color w:val="0E1826"/>
          <w:sz w:val="30"/>
          <w:szCs w:val="30"/>
        </w:rPr>
        <w:t xml:space="preserve">7. Fiches détaillées par réseau (par ordre de priorité)</w:t>
      </w:r>
    </w:p>
    <w:p>
      <w:pPr>
        <w:spacing w:after="120" w:line="276"/>
      </w:pPr>
      <w:r>
        <w:t xml:space="preserve">Priorité aux réseaux couvrant le mieux la Belgique et la France. Commencer par Awin, puis Kwanko et Daisycon (forts en Benelux), puis les réseaux internationaux.</w:t>
      </w:r>
    </w:p>
    <w:p>
      <w:pPr>
        <w:pStyle w:val="Heading2"/>
        <w:spacing w:after="100" w:before="260"/>
      </w:pPr>
      <w:r>
        <w:rPr>
          <w:b/>
          <w:bCs/>
          <w:color w:val="1E75C9"/>
          <w:sz w:val="25"/>
          <w:szCs w:val="25"/>
        </w:rPr>
        <w:t xml:space="preserve">7.1. Awin (priorité 1 — couverture BE/FR maximale)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Le plus gros réseau pour l'Europe. Donne accès à des centaines de marchands FR/BE (mode, high-tech, maison, voyage). Flux produits et API solides.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Fnac, Cdiscount, AliExpress, Decathlon, nombreux e-commerçants belges.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www.awin.com → « Devenir éditeur / Publisher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Dépôt de 5 € (ou équivalent) à l'inscription, remboursé sur les premières commissions. Prévoir une carte.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 BCE/TVA, site en ligne, IBAN, descriptif du site, méthodes de promotion.</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ouvrés (revue manuelle). Répondre vite si le réseau demande une précision.</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clé API (Awin API : transactions, promotions, product feeds via « Create-a-Feed »), format de deeplink.</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Chaque marchand s'active séparément. Bien activer les flux produits marchand par marchand.</w:t>
            </w:r>
          </w:p>
        </w:tc>
      </w:tr>
    </w:tbl>
    <w:p>
      <w:pPr>
        <w:pStyle w:val="Heading2"/>
        <w:spacing w:after="100" w:before="260"/>
      </w:pPr>
      <w:r>
        <w:rPr>
          <w:b/>
          <w:bCs/>
          <w:color w:val="1E75C9"/>
          <w:sz w:val="25"/>
          <w:szCs w:val="25"/>
        </w:rPr>
        <w:t xml:space="preserve">7.2. Kwanko (priorité 1 — acteur FR/BE historique)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français très implanté en Belgique. Bon complément d'Awin, marchands parfois exclusifs.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FR/BE variées (mode, telecom, maison, finance).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www.kwanko.com → espace éditeurs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Validation manuelle.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 un contact commercial peut rappeler.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Identifiant éditeur, accès API, flux produits, liens de tracking.</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Soigner la présentation du modèle FILON ; ils apprécient les éditeurs à forte intention d'achat.</w:t>
            </w:r>
          </w:p>
        </w:tc>
      </w:tr>
    </w:tbl>
    <w:p>
      <w:pPr>
        <w:pStyle w:val="Heading2"/>
        <w:spacing w:after="100" w:before="260"/>
      </w:pPr>
      <w:r>
        <w:rPr>
          <w:b/>
          <w:bCs/>
          <w:color w:val="1E75C9"/>
          <w:sz w:val="25"/>
          <w:szCs w:val="25"/>
        </w:rPr>
        <w:t xml:space="preserve">7.3. Daisycon (priorité 1 — spécialiste Benelux)</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néerlandais, excellente couverture Belgique/Pays-Bas. Utile pour les marchands belges NL et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Benelux, télécoms, énergie, e-commerce local.</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www.daisycon.com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KYC possible.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ouvrés.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(médias, transactions, product feeds),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Interface parfois en NL/EN ; utile pour préparer la version néerlandaise de FILON.</w:t>
            </w:r>
          </w:p>
        </w:tc>
      </w:tr>
    </w:tbl>
    <w:p>
      <w:pPr>
        <w:pStyle w:val="Heading2"/>
        <w:spacing w:after="100" w:before="260"/>
      </w:pPr>
      <w:r>
        <w:rPr>
          <w:b/>
          <w:bCs/>
          <w:color w:val="1E75C9"/>
          <w:sz w:val="25"/>
          <w:szCs w:val="25"/>
        </w:rPr>
        <w:t xml:space="preserve">7.4. Rakuten Advertising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international premium, marques fortes. Bon pour la crédibilité et certaines exclusivités.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Grandes marques mode/tech internationales et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rakutenadvertising.com → « Publishers » / « Sign up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formulaire fiscal, descriptif détaillé.</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Plusieurs jours à deux semaines ; validation plus stricte.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(Product Search, Coupon, Events/transactions), flux produits,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Exigeant sur la qualité du site : bien avoir toutes les pages légales et un contenu réel.</w:t>
            </w:r>
          </w:p>
        </w:tc>
      </w:tr>
    </w:tbl>
    <w:p>
      <w:pPr>
        <w:pStyle w:val="Heading2"/>
        <w:spacing w:after="100" w:before="260"/>
      </w:pPr>
      <w:r>
        <w:rPr>
          <w:b/>
          <w:bCs/>
          <w:color w:val="1E75C9"/>
          <w:sz w:val="25"/>
          <w:szCs w:val="25"/>
        </w:rPr>
        <w:t xml:space="preserve">7.5. Impact.com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Plateforme moderne (SaaS) utilisée par de nombreuses marques tech et DNVB. API et flux de très bonne qualité.</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Marques tech, SaaS, e-commerce international ; certaines enseignes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impact.com → « Partners » / « Sign up as a partner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 chaque marque approuve séparément.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rapide ; l'approbation par marque peut prendre du temps.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Account SID + Auth Token (API), catalogues produits, deeplinks (Impact Radius).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Très bonne API : à prioriser côté technique une fois quelques marques approuvées.</w:t>
            </w:r>
          </w:p>
        </w:tc>
      </w:tr>
    </w:tbl>
    <w:p>
      <w:pPr>
        <w:pStyle w:val="Heading2"/>
        <w:spacing w:after="100" w:before="260"/>
      </w:pPr>
      <w:r>
        <w:rPr>
          <w:b/>
          <w:bCs/>
          <w:color w:val="1E75C9"/>
          <w:sz w:val="25"/>
          <w:szCs w:val="25"/>
        </w:rPr>
        <w:t xml:space="preserve">7.6. CJ Affiliate — Commission Junction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international majeur (groupe Publicis). Large catalogue, surtout international et US/UK, avec des marques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Grandes enseignes internationales, voyage, tech.</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www.cj.com → « Publisher Sign Up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formulaire fiscal, descriptif.</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 politique qualité stricte (le site doit être abouti).</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(PID), Personal Access Token (API REST : Product Search, Commissions, Link Search),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parfois désactivé si inactif : postuler à des marchands rapidement après validation.</w:t>
            </w:r>
          </w:p>
        </w:tc>
      </w:tr>
    </w:tbl>
    <w:p>
      <w:pPr>
        <w:pStyle w:val="Heading2"/>
        <w:spacing w:after="100" w:before="260"/>
      </w:pPr>
      <w:r>
        <w:rPr>
          <w:b/>
          <w:bCs/>
          <w:color w:val="1E75C9"/>
          <w:sz w:val="25"/>
          <w:szCs w:val="25"/>
        </w:rPr>
        <w:t xml:space="preserve">7.7. TradeDoubler (priorité 3)</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européen ancien, présence FR/BE. Complément pour couvrir des marchands non présents ailleurs.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européennes variées.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www.tradedoubler.com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flux produits,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À traiter après les prioritaires ; ouvrir surtout si un marchand cible y est exclusif.</w:t>
            </w:r>
          </w:p>
        </w:tc>
      </w:tr>
    </w:tbl>
    <w:p>
      <w:pPr>
        <w:pStyle w:val="Heading2"/>
        <w:spacing w:after="100" w:before="260"/>
      </w:pPr>
      <w:r>
        <w:rPr>
          <w:b/>
          <w:bCs/>
          <w:color w:val="1E75C9"/>
          <w:sz w:val="25"/>
          <w:szCs w:val="25"/>
        </w:rPr>
        <w:t xml:space="preserve">7.8. Amazon Partenaires + PA-API (programme direct, cas particulier)</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Programme d'affiliation direct d'Amazon. Incontournable pour le catalogue produit et les prix.</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Amazon.fr / Amazon.be.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partenaires.amazon.fr → créer un compte Associé ; puis demander l'accès à la Product Advertising API (PA-API 5.0).</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Amazon pro, site, identité, IBAN, informations fiscales.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Condition spécifique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Le compte est validé définitivement après au moins 3 ventes qualifiées dans les 180 jours. L'accès PA-API n'est débloqué qu'après ces premières ventes.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Tag d'associé (tracking ID), Access Key + Secret Key PA-API (une fois les 3 ventes réalisées).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Respecter strictement les règles Amazon (affichage des prix via l'API uniquement, mentions obligatoires). Prévoir une phase où Amazon est intégré en différé.</w:t>
            </w:r>
          </w:p>
        </w:tc>
      </w:tr>
    </w:tbl>
    <w:p>
      <w:r>
        <w:br w:type="page"/>
      </w:r>
    </w:p>
    <w:p>
      <w:pPr>
        <w:pStyle w:val="Heading1"/>
        <w:spacing w:after="140" w:before="320"/>
      </w:pPr>
      <w:r>
        <w:rPr>
          <w:b/>
          <w:bCs/>
          <w:color w:val="0E1826"/>
          <w:sz w:val="30"/>
          <w:szCs w:val="30"/>
        </w:rPr>
        <w:t xml:space="preserve">8. Programmes marchands prioritaires (où les trouver)</w:t>
      </w:r>
    </w:p>
    <w:p>
      <w:pPr>
        <w:spacing w:after="120" w:line="276"/>
      </w:pPr>
      <w:r>
        <w:t xml:space="preserve">Voici les marchands que FILON compare en priorité (cohérents avec le catalogue de démonstration du backend) et le réseau par lequel les demander. Postuler à ces programmes une fois les comptes réseaux validés.</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3400"/>
        <w:gridCol w:w="3220"/>
      </w:tblGrid>
      <w:tr>
        <w:trPr>
          <w:tblHeader/>
        </w:trPr>
        <w:tc>
          <w:tcPr>
            <w:tcW w:type="dxa" w:w="2400"/>
            <w:shd w:fill="0E1826" w:color="auto" w:val="clear"/>
            <w:tcMar>
              <w:top w:type="dxa" w:w="60"/>
              <w:left w:type="dxa" w:w="90"/>
              <w:bottom w:type="dxa" w:w="60"/>
              <w:right w:type="dxa" w:w="90"/>
            </w:tcMar>
          </w:tcPr>
          <w:p>
            <w:pPr>
              <w:spacing w:after="40" w:line="252"/>
            </w:pPr>
            <w:r>
              <w:rPr>
                <w:b/>
                <w:bCs/>
                <w:color w:val="FFFFFF"/>
                <w:sz w:val="19"/>
                <w:szCs w:val="19"/>
              </w:rPr>
              <w:t xml:space="preserve">Marchand</w:t>
            </w:r>
          </w:p>
        </w:tc>
        <w:tc>
          <w:tcPr>
            <w:tcW w:type="dxa" w:w="3400"/>
            <w:shd w:fill="0E1826" w:color="auto" w:val="clear"/>
            <w:tcMar>
              <w:top w:type="dxa" w:w="60"/>
              <w:left w:type="dxa" w:w="90"/>
              <w:bottom w:type="dxa" w:w="60"/>
              <w:right w:type="dxa" w:w="90"/>
            </w:tcMar>
          </w:tcPr>
          <w:p>
            <w:pPr>
              <w:spacing w:after="40" w:line="252"/>
            </w:pPr>
            <w:r>
              <w:rPr>
                <w:b/>
                <w:bCs/>
                <w:color w:val="FFFFFF"/>
                <w:sz w:val="19"/>
                <w:szCs w:val="19"/>
              </w:rPr>
              <w:t xml:space="preserve">Réseau à utiliser</w:t>
            </w:r>
          </w:p>
        </w:tc>
        <w:tc>
          <w:tcPr>
            <w:tcW w:type="dxa" w:w="3220"/>
            <w:shd w:fill="0E1826" w:color="auto" w:val="clear"/>
            <w:tcMar>
              <w:top w:type="dxa" w:w="60"/>
              <w:left w:type="dxa" w:w="90"/>
              <w:bottom w:type="dxa" w:w="60"/>
              <w:right w:type="dxa" w:w="90"/>
            </w:tcMar>
          </w:tcPr>
          <w:p>
            <w:pPr>
              <w:spacing w:after="40" w:line="252"/>
            </w:pPr>
            <w:r>
              <w:rPr>
                <w:b/>
                <w:bCs/>
                <w:color w:val="FFFFFF"/>
                <w:sz w:val="19"/>
                <w:szCs w:val="19"/>
              </w:rPr>
              <w:t xml:space="preserve">Note</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Amazon</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Amazon Partenaires (direct)</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Prioritaire. Prévoir le délai des 3 ventes pour la PA-API.</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Fnac</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Awin</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Forte demande high-tech ; activer le flux produits.</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Darty</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Awin / Kwanko</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Électroménager et high-tech.</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Boulanger</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Kwanko / réseau selon disponibilité</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High-tech, gros électroménager.</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Cdiscount</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Large catalogue, prix agressifs.</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Back Market</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Impact.com / réseau reconditionné</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Clé pour l'axe reconditionné de FILON.</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Rakuten (marketplace FR)</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Rakuten Advertising</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Marketplace + neuf/occasion.</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Decathlon, autres</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Awin</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Élargissement progressif du catalogue.</w:t>
            </w:r>
          </w:p>
        </w:tc>
      </w:tr>
    </w:tbl>
    <w:p>
      <w:pPr>
        <w:spacing w:after="80"/>
      </w:pPr>
      <w:r>
        <w:t xml:space="preserve"/>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color w:val="0E1826"/>
                <w:sz w:val="19"/>
                <w:szCs w:val="19"/>
              </w:rPr>
              <w:t xml:space="preserve">Plateformes de cashback (Phase 3, contact séparé) : </w:t>
            </w:r>
            <w:r>
              <w:rPr>
                <w:sz w:val="19"/>
                <w:szCs w:val="19"/>
              </w:rPr>
              <w:t xml:space="preserve">iGraal, Poulpeo, Widilo, Joko, eBuyClub. Ce sont des sources comparées par FILON et de futurs partenaires. Prise de contact commerciale (contact@filon.be) plutôt qu'inscription éditeur classique. À traiter après les réseaux.</w:t>
            </w:r>
          </w:p>
        </w:tc>
      </w:tr>
    </w:tbl>
    <w:p>
      <w:r>
        <w:br w:type="page"/>
      </w:r>
    </w:p>
    <w:p>
      <w:pPr>
        <w:pStyle w:val="Heading1"/>
        <w:spacing w:after="140" w:before="320"/>
      </w:pPr>
      <w:r>
        <w:rPr>
          <w:b/>
          <w:bCs/>
          <w:color w:val="0E1826"/>
          <w:sz w:val="30"/>
          <w:szCs w:val="30"/>
        </w:rPr>
        <w:t xml:space="preserve">9. Textes prêts à copier</w:t>
      </w:r>
    </w:p>
    <w:p>
      <w:pPr>
        <w:pStyle w:val="Heading2"/>
        <w:spacing w:after="100" w:before="240"/>
      </w:pPr>
      <w:r>
        <w:rPr>
          <w:b/>
          <w:bCs/>
          <w:color w:val="1E75C9"/>
          <w:sz w:val="25"/>
          <w:szCs w:val="25"/>
        </w:rPr>
        <w:t xml:space="preserve">9.1 Descriptif du site (à coller dans les formulaires)</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i/>
                <w:iCs/>
                <w:sz w:val="19"/>
                <w:szCs w:val="19"/>
              </w:rPr>
              <w:t xml:space="preserve">FILON est un assistant d'achat francophone basé en Belgique. Avant chaque achat, il compare pour l'utilisateur le meilleur prix, le cashback disponible, les codes promo et les alternatives reconditionnées, puis recommande la meilleure décision. Le service est gratuit pour l'utilisateur et se rémunère via la commission d'apport des partenaires, en toute transparence. Audience : consommateurs belges francophones, puis France. Promotion : comparaison de prix, extension navigateur et guides d'achat éditoriaux.</w:t>
            </w:r>
          </w:p>
        </w:tc>
      </w:tr>
    </w:tbl>
    <w:p>
      <w:pPr>
        <w:pStyle w:val="Heading2"/>
        <w:spacing w:after="100" w:before="240"/>
      </w:pPr>
      <w:r>
        <w:rPr>
          <w:b/>
          <w:bCs/>
          <w:color w:val="1E75C9"/>
          <w:sz w:val="25"/>
          <w:szCs w:val="25"/>
        </w:rPr>
        <w:t xml:space="preserve">9.2 Modèle d'e-mail de candidature / relance</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sz w:val="19"/>
                <w:szCs w:val="19"/>
              </w:rPr>
              <w:t xml:space="preserve">Objet : Demande de partenariat éditeur — FILON (filon.be)</w:t>
            </w:r>
          </w:p>
          <w:p>
            <w:pPr>
              <w:spacing w:after="40" w:line="264"/>
            </w:pPr>
            <w:r>
              <w:rPr>
                <w:sz w:val="19"/>
                <w:szCs w:val="19"/>
              </w:rPr>
              <w:t xml:space="preserve">Bonjour,</w:t>
            </w:r>
          </w:p>
          <w:p>
            <w:pPr>
              <w:spacing w:after="40" w:line="264"/>
            </w:pPr>
            <w:r>
              <w:rPr>
                <w:sz w:val="19"/>
                <w:szCs w:val="19"/>
              </w:rPr>
              <w:t xml:space="preserve">FILON est un assistant d'achat francophone (filon.be) basé en Belgique. Nous aidons les consommateurs à comparer prix, cashback, codes promo et reconditionné avant l'achat, puis à choisir la meilleure offre. Nous souhaitons rejoindre votre réseau en tant qu'éditeur afin de promouvoir vos marchands partenaires auprès d'une audience à forte intention d'achat.</w:t>
            </w:r>
          </w:p>
          <w:p>
            <w:pPr>
              <w:spacing w:after="40" w:line="264"/>
            </w:pPr>
            <w:r>
              <w:rPr>
                <w:sz w:val="19"/>
                <w:szCs w:val="19"/>
              </w:rPr>
              <w:t xml:space="preserve">Vous trouverez notre site en ligne ainsi que nos mentions légales et notre politique de confidentialité. Je reste à disposition pour toute information complémentaire (numéro d'entreprise, coordonnées bancaires, volumes estimés).</w:t>
            </w:r>
          </w:p>
          <w:p>
            <w:pPr>
              <w:spacing w:after="40" w:line="264"/>
            </w:pPr>
            <w:r>
              <w:rPr>
                <w:sz w:val="19"/>
                <w:szCs w:val="19"/>
              </w:rPr>
              <w:t xml:space="preserve">Bien cordialement,</w:t>
            </w:r>
          </w:p>
          <w:p>
            <w:pPr>
              <w:spacing w:after="40" w:line="264"/>
            </w:pPr>
            <w:r>
              <w:rPr>
                <w:sz w:val="19"/>
                <w:szCs w:val="19"/>
              </w:rPr>
              <w:t xml:space="preserve">Freddy Mvogo Eloundou — FILON — contact@filon.be</w:t>
            </w:r>
          </w:p>
        </w:tc>
      </w:tr>
    </w:tbl>
    <w:p>
      <w:r>
        <w:br w:type="page"/>
      </w:r>
    </w:p>
    <w:p>
      <w:pPr>
        <w:pStyle w:val="Heading1"/>
        <w:spacing w:after="140" w:before="320"/>
      </w:pPr>
      <w:r>
        <w:rPr>
          <w:b/>
          <w:bCs/>
          <w:color w:val="0E1826"/>
          <w:sz w:val="30"/>
          <w:szCs w:val="30"/>
        </w:rPr>
        <w:t xml:space="preserve">10. Ordre de priorité et calendrier indicatif</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1700"/>
        <w:gridCol w:w="3600"/>
        <w:gridCol w:w="3720"/>
      </w:tblGrid>
      <w:tr>
        <w:trPr>
          <w:tblHeader/>
        </w:trPr>
        <w:tc>
          <w:tcPr>
            <w:tcW w:type="dxa" w:w="1700"/>
            <w:shd w:fill="0E1826" w:color="auto" w:val="clear"/>
            <w:tcMar>
              <w:top w:type="dxa" w:w="60"/>
              <w:left w:type="dxa" w:w="90"/>
              <w:bottom w:type="dxa" w:w="60"/>
              <w:right w:type="dxa" w:w="90"/>
            </w:tcMar>
          </w:tcPr>
          <w:p>
            <w:pPr>
              <w:spacing w:after="40" w:line="252"/>
            </w:pPr>
            <w:r>
              <w:rPr>
                <w:b/>
                <w:bCs/>
                <w:color w:val="FFFFFF"/>
                <w:sz w:val="19"/>
                <w:szCs w:val="19"/>
              </w:rPr>
              <w:t xml:space="preserve">Période</w:t>
            </w:r>
          </w:p>
        </w:tc>
        <w:tc>
          <w:tcPr>
            <w:tcW w:type="dxa" w:w="3600"/>
            <w:shd w:fill="0E1826" w:color="auto" w:val="clear"/>
            <w:tcMar>
              <w:top w:type="dxa" w:w="60"/>
              <w:left w:type="dxa" w:w="90"/>
              <w:bottom w:type="dxa" w:w="60"/>
              <w:right w:type="dxa" w:w="90"/>
            </w:tcMar>
          </w:tcPr>
          <w:p>
            <w:pPr>
              <w:spacing w:after="40" w:line="252"/>
            </w:pPr>
            <w:r>
              <w:rPr>
                <w:b/>
                <w:bCs/>
                <w:color w:val="FFFFFF"/>
                <w:sz w:val="19"/>
                <w:szCs w:val="19"/>
              </w:rPr>
              <w:t xml:space="preserve">Action</w:t>
            </w:r>
          </w:p>
        </w:tc>
        <w:tc>
          <w:tcPr>
            <w:tcW w:type="dxa" w:w="3720"/>
            <w:shd w:fill="0E1826" w:color="auto" w:val="clear"/>
            <w:tcMar>
              <w:top w:type="dxa" w:w="60"/>
              <w:left w:type="dxa" w:w="90"/>
              <w:bottom w:type="dxa" w:w="60"/>
              <w:right w:type="dxa" w:w="90"/>
            </w:tcMar>
          </w:tcPr>
          <w:p>
            <w:pPr>
              <w:spacing w:after="40" w:line="252"/>
            </w:pPr>
            <w:r>
              <w:rPr>
                <w:b/>
                <w:bCs/>
                <w:color w:val="FFFFFF"/>
                <w:sz w:val="19"/>
                <w:szCs w:val="19"/>
              </w:rPr>
              <w:t xml:space="preserve">Détail</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1</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Préparer prérequis + fiche d'identité éditeur</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Réunir BCE, TVA, IBAN. Vérifier les pages légales du site. Créer les e-mails pro.</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1-2</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Awin, Kwanko, Daisycon</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Créer les comptes, soumettre, répondre aux demandes de validation.</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2-3</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Rakuten, Impact.com, CJ Affiliate</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Comptes internationaux, validation plus stricte.</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2-3</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Amazon Partenaires</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Créer le compte Associé, commencer à générer les premières ventes.</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3-4</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Postuler aux marchands prioritaires</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Fnac, Darty, Cdiscount, Back Market… un par un.</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4</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Récupérer les accès + transmettre</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Consigner clés/flux dans le tableau de suivi, remettre à l'équipe technique.</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Plus tard</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Cashback (iGraal, Poulpeo…) + TradeDoubler</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Phase 3, contacts commerciaux séparés.</w:t>
            </w:r>
          </w:p>
        </w:tc>
      </w:tr>
    </w:tbl>
    <w:p>
      <w:pPr>
        <w:pStyle w:val="Heading1"/>
        <w:spacing w:after="140" w:before="320"/>
      </w:pPr>
      <w:r>
        <w:rPr>
          <w:b/>
          <w:bCs/>
          <w:color w:val="0E1826"/>
          <w:sz w:val="30"/>
          <w:szCs w:val="30"/>
        </w:rPr>
        <w:t xml:space="preserve">11. Tableau de suivi des candidatures</w:t>
      </w:r>
    </w:p>
    <w:p>
      <w:pPr>
        <w:spacing w:after="120" w:line="276"/>
      </w:pPr>
      <w:r>
        <w:t xml:space="preserve">À tenir à jour au fil de l'eau. Une ligne par réseau ; cocher chaque étape.</w:t>
      </w:r>
    </w:p>
    <w:tbl>
      <w:tblPr>
        <w:tblW w:type="dxa" w:w="8020"/>
        <w:tblBorders>
          <w:top w:val="single" w:color="C9D4E0" w:sz="4"/>
          <w:left w:val="single" w:color="C9D4E0" w:sz="4"/>
          <w:bottom w:val="single" w:color="C9D4E0" w:sz="4"/>
          <w:right w:val="single" w:color="C9D4E0" w:sz="4"/>
          <w:insideH w:val="single" w:color="C9D4E0" w:sz="4"/>
          <w:insideV w:val="single" w:color="C9D4E0" w:sz="4"/>
        </w:tblBorders>
      </w:tblPr>
      <w:tblGrid>
        <w:gridCol w:w="1900"/>
        <w:gridCol w:w="1300"/>
        <w:gridCol w:w="1300"/>
        <w:gridCol w:w="1620"/>
        <w:gridCol w:w="1900"/>
      </w:tblGrid>
      <w:tr>
        <w:trPr>
          <w:tblHeader/>
        </w:trPr>
        <w:tc>
          <w:tcPr>
            <w:tcW w:type="dxa" w:w="1900"/>
            <w:shd w:fill="0E1826" w:color="auto" w:val="clear"/>
            <w:tcMar>
              <w:top w:type="dxa" w:w="60"/>
              <w:left w:type="dxa" w:w="90"/>
              <w:bottom w:type="dxa" w:w="60"/>
              <w:right w:type="dxa" w:w="90"/>
            </w:tcMar>
          </w:tcPr>
          <w:p>
            <w:pPr>
              <w:spacing w:after="40" w:line="252"/>
            </w:pPr>
            <w:r>
              <w:rPr>
                <w:b/>
                <w:bCs/>
                <w:color w:val="FFFFFF"/>
                <w:sz w:val="19"/>
                <w:szCs w:val="19"/>
              </w:rPr>
              <w:t xml:space="preserve">Réseau</w:t>
            </w:r>
          </w:p>
        </w:tc>
        <w:tc>
          <w:tcPr>
            <w:tcW w:type="dxa" w:w="1300"/>
            <w:shd w:fill="0E1826" w:color="auto" w:val="clear"/>
            <w:tcMar>
              <w:top w:type="dxa" w:w="60"/>
              <w:left w:type="dxa" w:w="90"/>
              <w:bottom w:type="dxa" w:w="60"/>
              <w:right w:type="dxa" w:w="90"/>
            </w:tcMar>
          </w:tcPr>
          <w:p>
            <w:pPr>
              <w:spacing w:after="40" w:line="252"/>
            </w:pPr>
            <w:r>
              <w:rPr>
                <w:b/>
                <w:bCs/>
                <w:color w:val="FFFFFF"/>
                <w:sz w:val="19"/>
                <w:szCs w:val="19"/>
              </w:rPr>
              <w:t xml:space="preserve">Compte créé</w:t>
            </w:r>
          </w:p>
        </w:tc>
        <w:tc>
          <w:tcPr>
            <w:tcW w:type="dxa" w:w="1300"/>
            <w:shd w:fill="0E1826" w:color="auto" w:val="clear"/>
            <w:tcMar>
              <w:top w:type="dxa" w:w="60"/>
              <w:left w:type="dxa" w:w="90"/>
              <w:bottom w:type="dxa" w:w="60"/>
              <w:right w:type="dxa" w:w="90"/>
            </w:tcMar>
          </w:tcPr>
          <w:p>
            <w:pPr>
              <w:spacing w:after="40" w:line="252"/>
            </w:pPr>
            <w:r>
              <w:rPr>
                <w:b/>
                <w:bCs/>
                <w:color w:val="FFFFFF"/>
                <w:sz w:val="19"/>
                <w:szCs w:val="19"/>
              </w:rPr>
              <w:t xml:space="preserve">Validé</w:t>
            </w:r>
          </w:p>
        </w:tc>
        <w:tc>
          <w:tcPr>
            <w:tcW w:type="dxa" w:w="1620"/>
            <w:shd w:fill="0E1826" w:color="auto" w:val="clear"/>
            <w:tcMar>
              <w:top w:type="dxa" w:w="60"/>
              <w:left w:type="dxa" w:w="90"/>
              <w:bottom w:type="dxa" w:w="60"/>
              <w:right w:type="dxa" w:w="90"/>
            </w:tcMar>
          </w:tcPr>
          <w:p>
            <w:pPr>
              <w:spacing w:after="40" w:line="252"/>
            </w:pPr>
            <w:r>
              <w:rPr>
                <w:b/>
                <w:bCs/>
                <w:color w:val="FFFFFF"/>
                <w:sz w:val="19"/>
                <w:szCs w:val="19"/>
              </w:rPr>
              <w:t xml:space="preserve">Clés reçues</w:t>
            </w:r>
          </w:p>
        </w:tc>
        <w:tc>
          <w:tcPr>
            <w:tcW w:type="dxa" w:w="1900"/>
            <w:shd w:fill="0E1826" w:color="auto" w:val="clear"/>
            <w:tcMar>
              <w:top w:type="dxa" w:w="60"/>
              <w:left w:type="dxa" w:w="90"/>
              <w:bottom w:type="dxa" w:w="60"/>
              <w:right w:type="dxa" w:w="90"/>
            </w:tcMar>
          </w:tcPr>
          <w:p>
            <w:pPr>
              <w:spacing w:after="40" w:line="252"/>
            </w:pPr>
            <w:r>
              <w:rPr>
                <w:b/>
                <w:bCs/>
                <w:color w:val="FFFFFF"/>
                <w:sz w:val="19"/>
                <w:szCs w:val="19"/>
              </w:rPr>
              <w:t xml:space="preserve">Transmis tech</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Kwanko</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Daisycon</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Rakuten Advertising</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Impact.com</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CJ Affiliate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Amazon Partenaires</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TradeDoubler</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bl>
    <w:p>
      <w:pPr>
        <w:spacing w:after="80"/>
      </w:pPr>
      <w:r>
        <w:t xml:space="preserve"/>
      </w:r>
    </w:p>
    <w:p>
      <w:pPr>
        <w:pStyle w:val="Heading2"/>
        <w:spacing w:after="100" w:before="240"/>
      </w:pPr>
      <w:r>
        <w:rPr>
          <w:b/>
          <w:bCs/>
          <w:color w:val="1E75C9"/>
          <w:sz w:val="25"/>
          <w:szCs w:val="25"/>
        </w:rPr>
        <w:t xml:space="preserve">11.1 Accès techniques à collecter (pour l'équipe FILON)</w:t>
      </w:r>
    </w:p>
    <w:p>
      <w:pPr>
        <w:spacing w:after="120" w:line="276"/>
      </w:pPr>
      <w:r>
        <w:t xml:space="preserve">Pour chaque réseau validé, remettre à l'équipe technique un bloc d'informations sous cette forme (à ranger dans le gestionnaire de secrets, jamais en clair par e-mail) :</w:t>
      </w:r>
    </w:p>
    <w:p>
      <w:pPr>
        <w:pStyle w:val="ListParagraph"/>
        <w:numPr>
          <w:ilvl w:val="0"/>
          <w:numId w:val="1"/>
        </w:numPr>
        <w:spacing w:after="60" w:line="264"/>
      </w:pPr>
      <w:r>
        <w:rPr>
          <w:b/>
          <w:bCs/>
        </w:rPr>
        <w:t xml:space="preserve">Réseau : </w:t>
      </w:r>
      <w:r>
        <w:t xml:space="preserve">…</w:t>
      </w:r>
    </w:p>
    <w:p>
      <w:pPr>
        <w:pStyle w:val="ListParagraph"/>
        <w:numPr>
          <w:ilvl w:val="0"/>
          <w:numId w:val="1"/>
        </w:numPr>
        <w:spacing w:after="60" w:line="264"/>
      </w:pPr>
      <w:r>
        <w:rPr>
          <w:b/>
          <w:bCs/>
        </w:rPr>
        <w:t xml:space="preserve">Identifiant éditeur (Publisher ID / PID / SID) : </w:t>
      </w:r>
      <w:r>
        <w:t xml:space="preserve">…</w:t>
      </w:r>
    </w:p>
    <w:p>
      <w:pPr>
        <w:pStyle w:val="ListParagraph"/>
        <w:numPr>
          <w:ilvl w:val="0"/>
          <w:numId w:val="1"/>
        </w:numPr>
        <w:spacing w:after="60" w:line="264"/>
      </w:pPr>
      <w:r>
        <w:rPr>
          <w:b/>
          <w:bCs/>
        </w:rPr>
        <w:t xml:space="preserve">Clé d'API / Token (+ secret le cas échéant) : </w:t>
      </w:r>
      <w:r>
        <w:t xml:space="preserve">…</w:t>
      </w:r>
    </w:p>
    <w:p>
      <w:pPr>
        <w:pStyle w:val="ListParagraph"/>
        <w:numPr>
          <w:ilvl w:val="0"/>
          <w:numId w:val="1"/>
        </w:numPr>
        <w:spacing w:after="60" w:line="264"/>
      </w:pPr>
      <w:r>
        <w:rPr>
          <w:b/>
          <w:bCs/>
        </w:rPr>
        <w:t xml:space="preserve">URL du flux produits (data feed) : </w:t>
      </w:r>
      <w:r>
        <w:t xml:space="preserve">…</w:t>
      </w:r>
    </w:p>
    <w:p>
      <w:pPr>
        <w:pStyle w:val="ListParagraph"/>
        <w:numPr>
          <w:ilvl w:val="0"/>
          <w:numId w:val="1"/>
        </w:numPr>
        <w:spacing w:after="60" w:line="264"/>
      </w:pPr>
      <w:r>
        <w:rPr>
          <w:b/>
          <w:bCs/>
        </w:rPr>
        <w:t xml:space="preserve">Format du lien de tracking (deeplink) : </w:t>
      </w:r>
      <w:r>
        <w:t xml:space="preserve">…</w:t>
      </w:r>
    </w:p>
    <w:p>
      <w:pPr>
        <w:pStyle w:val="ListParagraph"/>
        <w:numPr>
          <w:ilvl w:val="0"/>
          <w:numId w:val="1"/>
        </w:numPr>
        <w:spacing w:after="60" w:line="264"/>
      </w:pPr>
      <w:r>
        <w:rPr>
          <w:b/>
          <w:bCs/>
        </w:rPr>
        <w:t xml:space="preserve">Marchands activés : </w:t>
      </w:r>
      <w:r>
        <w:t xml:space="preserve">…</w:t>
      </w:r>
    </w:p>
    <w:p>
      <w:r>
        <w:br w:type="page"/>
      </w:r>
    </w:p>
    <w:p>
      <w:pPr>
        <w:pStyle w:val="Heading1"/>
        <w:spacing w:after="140" w:before="320"/>
      </w:pPr>
      <w:r>
        <w:rPr>
          <w:b/>
          <w:bCs/>
          <w:color w:val="0E1826"/>
          <w:sz w:val="30"/>
          <w:szCs w:val="30"/>
        </w:rPr>
        <w:t xml:space="preserve">12. Conformité et bonnes pratiques</w:t>
      </w:r>
    </w:p>
    <w:p>
      <w:pPr>
        <w:pStyle w:val="ListParagraph"/>
        <w:numPr>
          <w:ilvl w:val="0"/>
          <w:numId w:val="1"/>
        </w:numPr>
        <w:spacing w:after="60" w:line="264"/>
      </w:pPr>
      <w:r>
        <w:rPr>
          <w:b/>
          <w:bCs/>
        </w:rPr>
        <w:t xml:space="preserve">Transparence affiliation : </w:t>
      </w:r>
      <w:r>
        <w:t xml:space="preserve">indiquer clairement que FILON perçoit une commission. C'est le positionnement de la marque et c'est exigé par la plupart des réseaux.</w:t>
      </w:r>
    </w:p>
    <w:p>
      <w:pPr>
        <w:pStyle w:val="ListParagraph"/>
        <w:numPr>
          <w:ilvl w:val="0"/>
          <w:numId w:val="1"/>
        </w:numPr>
        <w:spacing w:after="60" w:line="264"/>
      </w:pPr>
      <w:r>
        <w:rPr>
          <w:b/>
          <w:bCs/>
        </w:rPr>
        <w:t xml:space="preserve">RGPD : </w:t>
      </w:r>
      <w:r>
        <w:t xml:space="preserve">politique de confidentialité et gestion des cookies conformes ; bandeau de consentement si des cookies de tracking sont posés.</w:t>
      </w:r>
    </w:p>
    <w:p>
      <w:pPr>
        <w:pStyle w:val="ListParagraph"/>
        <w:numPr>
          <w:ilvl w:val="0"/>
          <w:numId w:val="1"/>
        </w:numPr>
        <w:spacing w:after="60" w:line="264"/>
      </w:pPr>
      <w:r>
        <w:rPr>
          <w:b/>
          <w:bCs/>
        </w:rPr>
        <w:t xml:space="preserve">Exactitude des données : </w:t>
      </w:r>
      <w:r>
        <w:t xml:space="preserve">ne jamais gonfler le trafic ou l'audience dans les candidatures ; un chiffre faux peut entraîner une exclusion.</w:t>
      </w:r>
    </w:p>
    <w:p>
      <w:pPr>
        <w:pStyle w:val="ListParagraph"/>
        <w:numPr>
          <w:ilvl w:val="0"/>
          <w:numId w:val="1"/>
        </w:numPr>
        <w:spacing w:after="60" w:line="264"/>
      </w:pPr>
      <w:r>
        <w:rPr>
          <w:b/>
          <w:bCs/>
        </w:rPr>
        <w:t xml:space="preserve">Respect des règles marchands : </w:t>
      </w:r>
      <w:r>
        <w:t xml:space="preserve">certains interdisent le SEA sur leur marque, l'e-mailing, ou imposent l'affichage des prix via API (Amazon). Lire les conditions de chaque programme.</w:t>
      </w:r>
    </w:p>
    <w:p>
      <w:pPr>
        <w:pStyle w:val="ListParagraph"/>
        <w:numPr>
          <w:ilvl w:val="0"/>
          <w:numId w:val="1"/>
        </w:numPr>
        <w:spacing w:after="60" w:line="264"/>
      </w:pPr>
      <w:r>
        <w:rPr>
          <w:b/>
          <w:bCs/>
        </w:rPr>
        <w:t xml:space="preserve">Sécurité des accès : </w:t>
      </w:r>
      <w:r>
        <w:t xml:space="preserve">clés d'API dans un gestionnaire de secrets, double authentification, un seul compte par réseau au nom de l'entité.</w:t>
      </w:r>
    </w:p>
    <w:p>
      <w:pPr>
        <w:pStyle w:val="ListParagraph"/>
        <w:numPr>
          <w:ilvl w:val="0"/>
          <w:numId w:val="1"/>
        </w:numPr>
        <w:spacing w:after="60" w:line="264"/>
      </w:pPr>
      <w:r>
        <w:rPr>
          <w:b/>
          <w:bCs/>
        </w:rPr>
        <w:t xml:space="preserve">Belgique / FSMA : </w:t>
      </w:r>
      <w:r>
        <w:t xml:space="preserve">pas de recommandation financière ; FILON reste un comparateur d'achats, ce qui évite les régimes réglementés.</w:t>
      </w:r>
    </w:p>
    <w:p>
      <w:r>
        <w:br w:type="page"/>
      </w:r>
    </w:p>
    <w:p>
      <w:pPr>
        <w:pStyle w:val="Heading1"/>
        <w:spacing w:after="140" w:before="320"/>
      </w:pPr>
      <w:r>
        <w:rPr>
          <w:b/>
          <w:bCs/>
          <w:color w:val="0E1826"/>
          <w:sz w:val="30"/>
          <w:szCs w:val="30"/>
        </w:rPr>
        <w:t xml:space="preserve">Annexe A — Glossaire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600"/>
        <w:gridCol w:w="6420"/>
      </w:tblGrid>
      <w:tr>
        <w:trPr>
          <w:tblHeader/>
        </w:trPr>
        <w:tc>
          <w:tcPr>
            <w:tcW w:type="dxa" w:w="2600"/>
            <w:shd w:fill="0E1826" w:color="auto" w:val="clear"/>
            <w:tcMar>
              <w:top w:type="dxa" w:w="60"/>
              <w:left w:type="dxa" w:w="90"/>
              <w:bottom w:type="dxa" w:w="60"/>
              <w:right w:type="dxa" w:w="90"/>
            </w:tcMar>
          </w:tcPr>
          <w:p>
            <w:pPr>
              <w:spacing w:after="40" w:line="252"/>
            </w:pPr>
            <w:r>
              <w:rPr>
                <w:b/>
                <w:bCs/>
                <w:color w:val="FFFFFF"/>
                <w:sz w:val="19"/>
                <w:szCs w:val="19"/>
              </w:rPr>
              <w:t xml:space="preserve">Terme</w:t>
            </w:r>
          </w:p>
        </w:tc>
        <w:tc>
          <w:tcPr>
            <w:tcW w:type="dxa" w:w="6420"/>
            <w:shd w:fill="0E1826" w:color="auto" w:val="clear"/>
            <w:tcMar>
              <w:top w:type="dxa" w:w="60"/>
              <w:left w:type="dxa" w:w="90"/>
              <w:bottom w:type="dxa" w:w="60"/>
              <w:right w:type="dxa" w:w="90"/>
            </w:tcMar>
          </w:tcPr>
          <w:p>
            <w:pPr>
              <w:spacing w:after="40" w:line="252"/>
            </w:pPr>
            <w:r>
              <w:rPr>
                <w:b/>
                <w:bCs/>
                <w:color w:val="FFFFFF"/>
                <w:sz w:val="19"/>
                <w:szCs w:val="19"/>
              </w:rPr>
              <w:t xml:space="preserve">Définition</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Éditeur (Publisher)</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Celui qui promeut les offres. Ici, FILON.</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Annonceur (Advertiser)</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Le marchand qui paie la commission.</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Réseau (Network)</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L'intermédiaire technique (Awin, Rakuten…) qui gère tracking et paiements.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Deeplink</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Lien affilié pointant vers une page produit précise, avec le tracking de l'éditeur.</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Flux produits (Data feed)</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Fichier/API listant les produits d'un marchand : prix, stock, images, URL.</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Publisher ID / PID / SID</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Identifiant unique de l'éditeur dans le réseau.</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API key / Token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Clé d'accès programmatique aux données du réseau (produits, commissions).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CPA</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Coût par action : commission versée à la vente (modèle principal ici).</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EPC</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Earnings per click : revenu moyen pour 100 clics ; indicateur de performance.</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Cookie window</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Durée pendant laquelle une vente est attribuée après le clic (ex. 30 jours).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SubID</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Paramètre libre ajouté au lien pour tracer une source interne (page, campagne).</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S2S (server-to-server)</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Suivi des conversions de serveur à serveur, sans dépendre des cookies navigateur.</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KYC</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Vérification d'identité de l'entité par le réseau avant paiement.</w:t>
            </w:r>
          </w:p>
        </w:tc>
      </w:tr>
    </w:tbl>
    <w:p>
      <w:pPr>
        <w:pStyle w:val="Heading1"/>
        <w:spacing w:after="140" w:before="320"/>
      </w:pPr>
      <w:r>
        <w:rPr>
          <w:b/>
          <w:bCs/>
          <w:color w:val="0E1826"/>
          <w:sz w:val="30"/>
          <w:szCs w:val="30"/>
        </w:rPr>
        <w:t xml:space="preserve">Annexe B — Liens d'inscription</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600"/>
        <w:gridCol w:w="6420"/>
      </w:tblGrid>
      <w:tr>
        <w:trPr>
          <w:tblHeader/>
        </w:trPr>
        <w:tc>
          <w:tcPr>
            <w:tcW w:type="dxa" w:w="2600"/>
            <w:shd w:fill="0E1826" w:color="auto" w:val="clear"/>
            <w:tcMar>
              <w:top w:type="dxa" w:w="60"/>
              <w:left w:type="dxa" w:w="90"/>
              <w:bottom w:type="dxa" w:w="60"/>
              <w:right w:type="dxa" w:w="90"/>
            </w:tcMar>
          </w:tcPr>
          <w:p>
            <w:pPr>
              <w:spacing w:after="40" w:line="252"/>
            </w:pPr>
            <w:r>
              <w:rPr>
                <w:b/>
                <w:bCs/>
                <w:color w:val="FFFFFF"/>
                <w:sz w:val="19"/>
                <w:szCs w:val="19"/>
              </w:rPr>
              <w:t xml:space="preserve">Réseau</w:t>
            </w:r>
          </w:p>
        </w:tc>
        <w:tc>
          <w:tcPr>
            <w:tcW w:type="dxa" w:w="6420"/>
            <w:shd w:fill="0E1826" w:color="auto" w:val="clear"/>
            <w:tcMar>
              <w:top w:type="dxa" w:w="60"/>
              <w:left w:type="dxa" w:w="90"/>
              <w:bottom w:type="dxa" w:w="60"/>
              <w:right w:type="dxa" w:w="90"/>
            </w:tcMar>
          </w:tcPr>
          <w:p>
            <w:pPr>
              <w:spacing w:after="40" w:line="252"/>
            </w:pPr>
            <w:r>
              <w:rPr>
                <w:b/>
                <w:bCs/>
                <w:color w:val="FFFFFF"/>
                <w:sz w:val="19"/>
                <w:szCs w:val="19"/>
              </w:rPr>
              <w:t xml:space="preserve">Adresse</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www.awin.com — espace Publisher</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Kwanko</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www.kwanko.com — espace Éditeurs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Daisycon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www.daisycon.com — Publishers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Rakuten Advertising</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rakutenadvertising.com — Publishers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Impact.com</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impact.com — Partners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CJ Affiliate</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www.cj.com — Publisher Sign Up</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TradeDoubler</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www.tradedoubler.com — Publishers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Amazon Partenaires</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partenaires.amazon.fr ; PA-API via la console associés</w:t>
            </w:r>
          </w:p>
        </w:tc>
      </w:tr>
    </w:tbl>
    <w:p>
      <w:pPr>
        <w:spacing w:after="160"/>
      </w:pPr>
      <w:r>
        <w:t xml:space="preserve"/>
      </w:r>
    </w:p>
    <w:p>
      <w:r>
        <w:rPr>
          <w:i/>
          <w:iCs/>
          <w:color w:val="5B6673"/>
          <w:sz w:val="18"/>
          <w:szCs w:val="18"/>
        </w:rPr>
        <w:t xml:space="preserve">Fin du document — FILON, Phase 2. Toute question : contact@filon.be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2"/>
        <w:sz w:val="16"/>
        <w:szCs w:val="16"/>
      </w:rPr>
      <w:t xml:space="preserve">Confidentiel — usage interne FILON      ·      page </w:t>
    </w:r>
    <w:r>
      <w:rPr>
        <w:color w:val="9AA6B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2"/>
        <w:sz w:val="16"/>
        <w:szCs w:val="16"/>
      </w:rPr>
      <w:t xml:space="preserve">FILON — Phase 2 — Affiliations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FILON — Phase 2 — Ouverture des comptes d'affiliation</dc:title>
  <dc:creator>FILON</dc:creator>
  <dc:description>Procédure détaillée d'ouverture des comptes d'affiliation et partenariats éditeur</dc:description>
  <cp:lastModifiedBy>Un-named</cp:lastModifiedBy>
  <cp:revision>1</cp:revision>
  <dcterms:created xsi:type="dcterms:W3CDTF">2026-07-22T08:05:00.240Z</dcterms:created>
  <dcterms:modified xsi:type="dcterms:W3CDTF">2026-07-22T08:05:00.240Z</dcterms:modified>
</cp:coreProperties>
</file>

<file path=docProps/custom.xml><?xml version="1.0" encoding="utf-8"?>
<Properties xmlns="http://schemas.openxmlformats.org/officeDocument/2006/custom-properties" xmlns:vt="http://schemas.openxmlformats.org/officeDocument/2006/docPropsVTypes"/>
</file>