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E7" w:rsidRDefault="00C942DB">
      <w:pPr>
        <w:spacing w:after="200" w:line="276" w:lineRule="auto"/>
        <w:rPr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sz w:val="22"/>
          <w:szCs w:val="22"/>
        </w:rPr>
        <w:t>Riksbanken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tillhandahåller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webbtjänst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med </w:t>
      </w:r>
      <w:proofErr w:type="spellStart"/>
      <w:r>
        <w:rPr>
          <w:rFonts w:ascii="Calibri" w:eastAsia="Calibri" w:hAnsi="Calibri" w:cs="Calibri"/>
          <w:sz w:val="22"/>
          <w:szCs w:val="22"/>
        </w:rPr>
        <w:t>möjlighet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hämta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valutakurser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Vi </w:t>
      </w:r>
      <w:proofErr w:type="spellStart"/>
      <w:r>
        <w:rPr>
          <w:rFonts w:ascii="Calibri" w:eastAsia="Calibri" w:hAnsi="Calibri" w:cs="Calibri"/>
          <w:sz w:val="22"/>
          <w:szCs w:val="22"/>
        </w:rPr>
        <w:t>vill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du </w:t>
      </w:r>
      <w:proofErr w:type="spellStart"/>
      <w:r>
        <w:rPr>
          <w:rFonts w:ascii="Calibri" w:eastAsia="Calibri" w:hAnsi="Calibri" w:cs="Calibri"/>
          <w:sz w:val="22"/>
          <w:szCs w:val="22"/>
        </w:rPr>
        <w:t>bygger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webbsida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som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man med </w:t>
      </w:r>
      <w:proofErr w:type="spellStart"/>
      <w:r>
        <w:rPr>
          <w:rFonts w:ascii="Calibri" w:eastAsia="Calibri" w:hAnsi="Calibri" w:cs="Calibri"/>
          <w:sz w:val="22"/>
          <w:szCs w:val="22"/>
        </w:rPr>
        <w:t>hjälp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webbtjänsten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summa </w:t>
      </w:r>
      <w:proofErr w:type="spellStart"/>
      <w:r>
        <w:rPr>
          <w:rFonts w:ascii="Calibri" w:eastAsia="Calibri" w:hAnsi="Calibri" w:cs="Calibri"/>
          <w:sz w:val="22"/>
          <w:szCs w:val="22"/>
        </w:rPr>
        <w:t>pengar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sedan </w:t>
      </w:r>
      <w:proofErr w:type="spellStart"/>
      <w:r>
        <w:rPr>
          <w:rFonts w:ascii="Calibri" w:eastAsia="Calibri" w:hAnsi="Calibri" w:cs="Calibri"/>
          <w:sz w:val="22"/>
          <w:szCs w:val="22"/>
        </w:rPr>
        <w:t>presentera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värdet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Summan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av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användaren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Valutan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från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till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valbara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mellan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åtminstone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Svenska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kronor(SEK), Euro(EUR)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 Dollar(USD).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Användaren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kunna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välja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vilket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datum </w:t>
      </w:r>
      <w:proofErr w:type="spellStart"/>
      <w:r>
        <w:rPr>
          <w:rFonts w:ascii="Calibri" w:eastAsia="Calibri" w:hAnsi="Calibri" w:cs="Calibri"/>
          <w:sz w:val="22"/>
          <w:szCs w:val="22"/>
        </w:rPr>
        <w:t>värdet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z w:val="22"/>
          <w:szCs w:val="22"/>
        </w:rPr>
        <w:t>senteras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Flera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konverteringar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kunna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göras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presenteras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tabell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Kunna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ta </w:t>
      </w:r>
      <w:proofErr w:type="spellStart"/>
      <w:r>
        <w:rPr>
          <w:rFonts w:ascii="Calibri" w:eastAsia="Calibri" w:hAnsi="Calibri" w:cs="Calibri"/>
          <w:sz w:val="22"/>
          <w:szCs w:val="22"/>
        </w:rPr>
        <w:t>bort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konverteringar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listan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Summan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presenteras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valbar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Använd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”</w:t>
      </w:r>
      <w:proofErr w:type="spellStart"/>
      <w:r>
        <w:rPr>
          <w:rFonts w:ascii="Calibri" w:eastAsia="Calibri" w:hAnsi="Calibri" w:cs="Calibri"/>
          <w:sz w:val="22"/>
          <w:szCs w:val="22"/>
        </w:rPr>
        <w:t>minst</w:t>
      </w:r>
      <w:proofErr w:type="spellEnd"/>
      <w:r>
        <w:rPr>
          <w:rFonts w:ascii="Calibri" w:eastAsia="Calibri" w:hAnsi="Calibri" w:cs="Calibri"/>
          <w:sz w:val="22"/>
          <w:szCs w:val="22"/>
        </w:rPr>
        <w:t>” ASP.NET MVC 5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Strukturerad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lättförståelig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värdes</w:t>
      </w:r>
      <w:r>
        <w:rPr>
          <w:rFonts w:ascii="Calibri" w:eastAsia="Calibri" w:hAnsi="Calibri" w:cs="Calibri"/>
          <w:sz w:val="22"/>
          <w:szCs w:val="22"/>
        </w:rPr>
        <w:t>ätts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C669E7" w:rsidRDefault="00C942DB">
      <w:pPr>
        <w:numPr>
          <w:ilvl w:val="0"/>
          <w:numId w:val="1"/>
        </w:numPr>
        <w:pBdr>
          <w:left w:val="none" w:sz="0" w:space="7" w:color="auto"/>
        </w:pBdr>
        <w:spacing w:after="200"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Valfri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.Net version</w:t>
      </w:r>
    </w:p>
    <w:p w:rsidR="00C669E7" w:rsidRDefault="00C942DB">
      <w:pPr>
        <w:spacing w:after="200" w:line="276" w:lineRule="auto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Dokumentation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webbtjänsten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finns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följande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länk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5" w:history="1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https://swea.riksbank.se/sweaWS/docs/api/index.htm</w:t>
        </w:r>
      </w:hyperlink>
    </w:p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Use case</w:t>
      </w:r>
    </w:p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Om </w:t>
      </w:r>
      <w:proofErr w:type="spellStart"/>
      <w:r>
        <w:rPr>
          <w:rFonts w:ascii="Calibri" w:eastAsia="Calibri" w:hAnsi="Calibri" w:cs="Calibri"/>
          <w:sz w:val="22"/>
          <w:szCs w:val="22"/>
        </w:rPr>
        <w:t>användaren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knappar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sz w:val="22"/>
          <w:szCs w:val="22"/>
        </w:rPr>
        <w:t>ett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belopp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om 100 SEK,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väljer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till USD, </w:t>
      </w:r>
      <w:proofErr w:type="spellStart"/>
      <w:r>
        <w:rPr>
          <w:rFonts w:ascii="Calibri" w:eastAsia="Calibri" w:hAnsi="Calibri" w:cs="Calibri"/>
          <w:sz w:val="22"/>
          <w:szCs w:val="22"/>
        </w:rPr>
        <w:t>väljer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datum 2015-04-23 </w:t>
      </w:r>
      <w:proofErr w:type="spellStart"/>
      <w:r>
        <w:rPr>
          <w:rFonts w:ascii="Calibri" w:eastAsia="Calibri" w:hAnsi="Calibri" w:cs="Calibri"/>
          <w:sz w:val="22"/>
          <w:szCs w:val="22"/>
        </w:rPr>
        <w:t>och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trycker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knappen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”</w:t>
      </w:r>
      <w:proofErr w:type="spellStart"/>
      <w:r>
        <w:rPr>
          <w:rFonts w:ascii="Calibri" w:eastAsia="Calibri" w:hAnsi="Calibri" w:cs="Calibri"/>
          <w:sz w:val="22"/>
          <w:szCs w:val="22"/>
        </w:rPr>
        <w:t>lägg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till”, visas </w:t>
      </w:r>
      <w:proofErr w:type="spellStart"/>
      <w:r>
        <w:rPr>
          <w:rFonts w:ascii="Calibri" w:eastAsia="Calibri" w:hAnsi="Calibri" w:cs="Calibri"/>
          <w:sz w:val="22"/>
          <w:szCs w:val="22"/>
        </w:rPr>
        <w:t>resultatet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tabellen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332"/>
        <w:gridCol w:w="1395"/>
        <w:gridCol w:w="1490"/>
      </w:tblGrid>
      <w:tr w:rsidR="00C669E7">
        <w:tc>
          <w:tcPr>
            <w:tcW w:w="2037" w:type="dxa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Valutakursdatum</w:t>
            </w:r>
            <w:proofErr w:type="spellEnd"/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Kurs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Värde</w:t>
            </w:r>
            <w:proofErr w:type="spellEnd"/>
          </w:p>
        </w:tc>
      </w:tr>
      <w:tr w:rsidR="00C669E7">
        <w:tc>
          <w:tcPr>
            <w:tcW w:w="2037" w:type="dxa"/>
            <w:tcBorders>
              <w:top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2015-04-23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 SEK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0,1143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11,43 USD</w:t>
            </w:r>
          </w:p>
        </w:tc>
      </w:tr>
    </w:tbl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 xml:space="preserve">Om </w:t>
      </w:r>
      <w:proofErr w:type="spellStart"/>
      <w:r>
        <w:rPr>
          <w:rFonts w:ascii="Calibri" w:eastAsia="Calibri" w:hAnsi="Calibri" w:cs="Calibri"/>
          <w:sz w:val="22"/>
          <w:szCs w:val="22"/>
        </w:rPr>
        <w:t>användaren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sedan </w:t>
      </w:r>
      <w:proofErr w:type="spellStart"/>
      <w:r>
        <w:rPr>
          <w:rFonts w:ascii="Calibri" w:eastAsia="Calibri" w:hAnsi="Calibri" w:cs="Calibri"/>
          <w:sz w:val="22"/>
          <w:szCs w:val="22"/>
        </w:rPr>
        <w:t>skriver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belopp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om 5 Euro, </w:t>
      </w:r>
      <w:proofErr w:type="spellStart"/>
      <w:r>
        <w:rPr>
          <w:rFonts w:ascii="Calibri" w:eastAsia="Calibri" w:hAnsi="Calibri" w:cs="Calibri"/>
          <w:sz w:val="22"/>
          <w:szCs w:val="22"/>
        </w:rPr>
        <w:t>väljer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konvertera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till SEK med </w:t>
      </w:r>
      <w:proofErr w:type="spellStart"/>
      <w:r>
        <w:rPr>
          <w:rFonts w:ascii="Calibri" w:eastAsia="Calibri" w:hAnsi="Calibri" w:cs="Calibri"/>
          <w:sz w:val="22"/>
          <w:szCs w:val="22"/>
        </w:rPr>
        <w:t>valutakursdatum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2015-04-27, </w:t>
      </w:r>
      <w:proofErr w:type="spellStart"/>
      <w:r>
        <w:rPr>
          <w:rFonts w:ascii="Calibri" w:eastAsia="Calibri" w:hAnsi="Calibri" w:cs="Calibri"/>
          <w:sz w:val="22"/>
          <w:szCs w:val="22"/>
        </w:rPr>
        <w:t>trycker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knappen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”</w:t>
      </w:r>
      <w:proofErr w:type="spellStart"/>
      <w:r>
        <w:rPr>
          <w:rFonts w:ascii="Calibri" w:eastAsia="Calibri" w:hAnsi="Calibri" w:cs="Calibri"/>
          <w:sz w:val="22"/>
          <w:szCs w:val="22"/>
        </w:rPr>
        <w:t>lägg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till”, </w:t>
      </w:r>
      <w:proofErr w:type="spellStart"/>
      <w:r>
        <w:rPr>
          <w:rFonts w:ascii="Calibri" w:eastAsia="Calibri" w:hAnsi="Calibri" w:cs="Calibri"/>
          <w:sz w:val="22"/>
          <w:szCs w:val="22"/>
        </w:rPr>
        <w:t>så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visas </w:t>
      </w:r>
      <w:proofErr w:type="spellStart"/>
      <w:r>
        <w:rPr>
          <w:rFonts w:ascii="Calibri" w:eastAsia="Calibri" w:hAnsi="Calibri" w:cs="Calibri"/>
          <w:sz w:val="22"/>
          <w:szCs w:val="22"/>
        </w:rPr>
        <w:t>resultatet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tabell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Föregående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uträkning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alltså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fortfarande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visas.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332"/>
        <w:gridCol w:w="1395"/>
        <w:gridCol w:w="1490"/>
      </w:tblGrid>
      <w:tr w:rsidR="00C669E7">
        <w:tc>
          <w:tcPr>
            <w:tcW w:w="2037" w:type="dxa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Valutakursdatum</w:t>
            </w:r>
            <w:proofErr w:type="spellEnd"/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Kurs</w:t>
            </w:r>
            <w:proofErr w:type="spellEnd"/>
          </w:p>
        </w:tc>
        <w:tc>
          <w:tcPr>
            <w:tcW w:w="1490" w:type="dxa"/>
            <w:tcBorders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Värde</w:t>
            </w:r>
            <w:proofErr w:type="spellEnd"/>
          </w:p>
        </w:tc>
      </w:tr>
      <w:tr w:rsidR="00C669E7">
        <w:tc>
          <w:tcPr>
            <w:tcW w:w="2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2015-04-23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 SEK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0,1143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11,43 USD</w:t>
            </w:r>
          </w:p>
        </w:tc>
      </w:tr>
      <w:tr w:rsidR="00C669E7">
        <w:tc>
          <w:tcPr>
            <w:tcW w:w="2037" w:type="dxa"/>
            <w:tcBorders>
              <w:top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2015-04-27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9,3756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46,88 SEK</w:t>
            </w:r>
          </w:p>
        </w:tc>
      </w:tr>
    </w:tbl>
    <w:p w:rsidR="00C669E7" w:rsidRDefault="00C942DB">
      <w:pPr>
        <w:spacing w:after="200" w:line="276" w:lineRule="auto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Detta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ska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kunna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upprepas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tills man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är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nöjd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C669E7" w:rsidRDefault="00C942DB">
      <w:pPr>
        <w:spacing w:after="200" w:line="276" w:lineRule="auto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Presentera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sedan </w:t>
      </w:r>
      <w:proofErr w:type="spellStart"/>
      <w:r>
        <w:rPr>
          <w:rFonts w:ascii="Calibri" w:eastAsia="Calibri" w:hAnsi="Calibri" w:cs="Calibri"/>
          <w:sz w:val="22"/>
          <w:szCs w:val="22"/>
        </w:rPr>
        <w:t>summan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valuta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som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användaren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väljer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med den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senaste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valutakursen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Så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om man </w:t>
      </w:r>
      <w:proofErr w:type="spellStart"/>
      <w:r>
        <w:rPr>
          <w:rFonts w:ascii="Calibri" w:eastAsia="Calibri" w:hAnsi="Calibri" w:cs="Calibri"/>
          <w:sz w:val="22"/>
          <w:szCs w:val="22"/>
        </w:rPr>
        <w:t>väljer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man </w:t>
      </w:r>
      <w:proofErr w:type="spellStart"/>
      <w:r>
        <w:rPr>
          <w:rFonts w:ascii="Calibri" w:eastAsia="Calibri" w:hAnsi="Calibri" w:cs="Calibri"/>
          <w:sz w:val="22"/>
          <w:szCs w:val="22"/>
        </w:rPr>
        <w:t>vill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ha </w:t>
      </w:r>
      <w:proofErr w:type="spellStart"/>
      <w:r>
        <w:rPr>
          <w:rFonts w:ascii="Calibri" w:eastAsia="Calibri" w:hAnsi="Calibri" w:cs="Calibri"/>
          <w:sz w:val="22"/>
          <w:szCs w:val="22"/>
        </w:rPr>
        <w:t>totalen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USD, </w:t>
      </w:r>
      <w:proofErr w:type="spellStart"/>
      <w:r>
        <w:rPr>
          <w:rFonts w:ascii="Calibri" w:eastAsia="Calibri" w:hAnsi="Calibri" w:cs="Calibri"/>
          <w:sz w:val="22"/>
          <w:szCs w:val="22"/>
        </w:rPr>
        <w:t>blir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resultatet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följande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701"/>
      </w:tblGrid>
      <w:tr w:rsidR="00C669E7">
        <w:tc>
          <w:tcPr>
            <w:tcW w:w="1384" w:type="dxa"/>
            <w:tcBorders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TOTALT: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669E7" w:rsidRDefault="00C942DB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16,94 USD</w:t>
            </w:r>
          </w:p>
        </w:tc>
      </w:tr>
    </w:tbl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Exempel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lastRenderedPageBreak/>
        <w:drawing>
          <wp:inline distT="0" distB="0" distL="0" distR="0">
            <wp:extent cx="5257800" cy="214312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847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E7" w:rsidRDefault="00C942DB">
      <w:pPr>
        <w:spacing w:after="200" w:line="276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Bonus (</w:t>
      </w:r>
      <w:proofErr w:type="spellStart"/>
      <w:r>
        <w:rPr>
          <w:rFonts w:ascii="Calibri" w:eastAsia="Calibri" w:hAnsi="Calibri" w:cs="Calibri"/>
          <w:sz w:val="22"/>
          <w:szCs w:val="22"/>
        </w:rPr>
        <w:t>helt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valfritt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Använda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senare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version </w:t>
      </w:r>
      <w:proofErr w:type="spellStart"/>
      <w:r>
        <w:rPr>
          <w:rFonts w:ascii="Calibri" w:eastAsia="Calibri" w:hAnsi="Calibri" w:cs="Calibri"/>
          <w:sz w:val="22"/>
          <w:szCs w:val="22"/>
        </w:rPr>
        <w:t>av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ASP.NET MVC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Unit-test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Front-end JavaScript-</w:t>
      </w:r>
      <w:proofErr w:type="spellStart"/>
      <w:r>
        <w:rPr>
          <w:rFonts w:ascii="Calibri" w:eastAsia="Calibri" w:hAnsi="Calibri" w:cs="Calibri"/>
          <w:sz w:val="22"/>
          <w:szCs w:val="22"/>
        </w:rPr>
        <w:t>lösning</w:t>
      </w:r>
      <w:proofErr w:type="spellEnd"/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SPA med </w:t>
      </w:r>
      <w:proofErr w:type="spellStart"/>
      <w:r>
        <w:rPr>
          <w:rFonts w:ascii="Calibri" w:eastAsia="Calibri" w:hAnsi="Calibri" w:cs="Calibri"/>
          <w:sz w:val="22"/>
          <w:szCs w:val="22"/>
        </w:rPr>
        <w:t>valfritt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javascript-ramverk</w:t>
      </w:r>
      <w:proofErr w:type="spellEnd"/>
      <w:r>
        <w:rPr>
          <w:rFonts w:ascii="Calibri" w:eastAsia="Calibri" w:hAnsi="Calibri" w:cs="Calibri"/>
          <w:sz w:val="22"/>
          <w:szCs w:val="22"/>
        </w:rPr>
        <w:t>(Angular, Knockout, React…)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Använda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dependency-injection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Använda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ASYNC</w:t>
      </w:r>
    </w:p>
    <w:p w:rsidR="00C669E7" w:rsidRDefault="00C942DB">
      <w:pPr>
        <w:numPr>
          <w:ilvl w:val="0"/>
          <w:numId w:val="2"/>
        </w:numPr>
        <w:pBdr>
          <w:left w:val="none" w:sz="0" w:space="7" w:color="auto"/>
        </w:pBdr>
        <w:spacing w:line="276" w:lineRule="auto"/>
        <w:ind w:hanging="43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Skapa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tomt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projekt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istället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för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använda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färdig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template</w:t>
      </w:r>
    </w:p>
    <w:p w:rsidR="00C669E7" w:rsidRDefault="00C669E7">
      <w:pPr>
        <w:spacing w:line="276" w:lineRule="auto"/>
        <w:ind w:left="720"/>
        <w:rPr>
          <w:sz w:val="22"/>
          <w:szCs w:val="22"/>
        </w:rPr>
      </w:pPr>
    </w:p>
    <w:p w:rsidR="00C669E7" w:rsidRDefault="00C669E7">
      <w:pPr>
        <w:spacing w:after="200" w:line="276" w:lineRule="auto"/>
        <w:ind w:left="720"/>
        <w:rPr>
          <w:sz w:val="22"/>
          <w:szCs w:val="22"/>
        </w:rPr>
      </w:pPr>
    </w:p>
    <w:p w:rsidR="00C669E7" w:rsidRDefault="00C669E7">
      <w:pPr>
        <w:spacing w:after="200" w:line="276" w:lineRule="auto"/>
        <w:rPr>
          <w:sz w:val="22"/>
          <w:szCs w:val="22"/>
        </w:rPr>
      </w:pPr>
    </w:p>
    <w:sectPr w:rsidR="00C669E7">
      <w:pgSz w:w="11906" w:h="16838"/>
      <w:pgMar w:top="1417" w:right="1417" w:bottom="56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C088B0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91E9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D4B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9ADF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8E7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DAC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7E12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F09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8CBB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6F0F8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D9AF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43C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64D5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B67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162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A69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226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4CE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E7"/>
    <w:rsid w:val="00C669E7"/>
    <w:rsid w:val="00C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16510-CA5F-4250-940C-D5D06B49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wea.riksbank.se/sweaWS/docs/api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 Benson</dc:creator>
  <cp:lastModifiedBy>Niamh Benson</cp:lastModifiedBy>
  <cp:revision>2</cp:revision>
  <dcterms:created xsi:type="dcterms:W3CDTF">2019-04-15T07:43:00Z</dcterms:created>
  <dcterms:modified xsi:type="dcterms:W3CDTF">2019-04-15T07:43:00Z</dcterms:modified>
</cp:coreProperties>
</file>