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b w:val="1"/>
          <w:bCs w:val="1"/>
          <w:rtl w:val="0"/>
        </w:rPr>
        <w:t xml:space="preserve">Which region drives the most revenue?</w:t>
      </w:r>
      <w:r w:rsidDel="00000000" w:rsidR="00000000" w:rsidRPr="00000000">
        <w:rPr>
          <w:rtl w:val="0"/>
        </w:rPr>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The Midwest is the strongest-performing region, generating approximately $29.5K in sales, largely driven by Office Supplies, particularly paper. However, this category operates at relatively low margins (3.8%) compared to Technology (4.2%) and Furniture (6.4%), indicating a volume-driven but less profitable revenue stream.</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The South underperforms in both sales and profitability, particularly in Furniture. Rather than reducing exposure outright, the firm should evaluate pricing, discounting, or cost structure in this category while prioritizing growth in higher-margin categories such as Technology.</w:t>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Are high sales always associated with high profit?</w:t>
      </w:r>
      <w:r w:rsidDel="00000000" w:rsidR="00000000" w:rsidRPr="00000000">
        <w:rPr>
          <w:rtl w:val="0"/>
        </w:rPr>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Higher sales do not consistently translate into higher profits. In several regions, high sales volumes are associated with lower profit margins, likely due to heavier discounting or a higher mix of low-margin products such as Office Supplies. This indicates that revenue growth is, at times, being achieved at the expense of profitability.</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Which category has the best margins?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Technology has the highest overall profit margin (7.1%), outperforming Office Supplies (6.3%) and Furniture (5.5%). Additionally, while the Corporate segment generates the highest margins, it contributes the lowest total sales volume. This suggests an opportunity to increase targeted sales efforts toward Corporate clients, particularly in high-margin categories like Technology.</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Any noticeable seasonal trends?</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Sales and profits peak between May and August, driven largely by increased demand for Office Supplies. Technology sales show a secondary spike in July and again in November–December, likely reflecting seasonal purchasing patterns and holiday demand. These trends suggest opportunities for targeted promotions and inventory planning aligned with peak demand periods.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