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5a8b4884ff0e45682963f6bf99e27fed649f79"/>
    <w:p>
      <w:pPr>
        <w:pStyle w:val="Heading1"/>
      </w:pPr>
      <w:r>
        <w:t xml:space="preserve">Förhandsbedömning och beslut att inleda eller inte inleda utredning</w:t>
      </w:r>
    </w:p>
    <w:p>
      <w:pPr>
        <w:pStyle w:val="BlockText"/>
        <w:pBdr>
          <w:top w:val="single" w:sz="8" w:space="4" w:color="404040"/>
          <w:left w:val="single" w:sz="8" w:space="4" w:color="404040"/>
          <w:bottom w:val="single" w:sz="8" w:space="4" w:color="404040"/>
          <w:right w:val="single" w:sz="8" w:space="4" w:color="404040"/>
        </w:pBdr>
      </w:pPr>
      <w:r>
        <w:rPr>
          <w:b/>
          <w:bCs/>
        </w:rPr>
        <w:t xml:space="preserve">Om mallen</w:t>
      </w:r>
      <w:r>
        <w:t xml:space="preserve"> </w:t>
      </w:r>
      <w:r>
        <w:t xml:space="preserve">— Ta ställning inom</w:t>
      </w:r>
      <w:r>
        <w:t xml:space="preserve"> </w:t>
      </w:r>
      <w:r>
        <w:rPr>
          <w:b/>
          <w:bCs/>
        </w:rPr>
        <w:t xml:space="preserve">14 dagar</w:t>
      </w:r>
      <w:r>
        <w:t xml:space="preserve"> </w:t>
      </w:r>
      <w:r>
        <w:t xml:space="preserve">till om en utredning ska inledas med</w:t>
      </w:r>
      <w:r>
        <w:t xml:space="preserve"> </w:t>
      </w:r>
      <w:r>
        <w:t xml:space="preserve">anledning av en anmälan eller ansökan. Fylls i av ansvarig socialsekreterare efter att</w:t>
      </w:r>
      <w:r>
        <w:t xml:space="preserve"> </w:t>
      </w:r>
      <w:r>
        <w:t xml:space="preserve">den omedelbara skyddsbedömningen är gjord. Resultatet är ett formellt beslut som</w:t>
      </w:r>
      <w:r>
        <w:t xml:space="preserve"> </w:t>
      </w:r>
      <w:r>
        <w:t xml:space="preserve">antingen öppnar en utredning eller avslutar aktualiseringen.</w:t>
      </w:r>
    </w:p>
    <w:p>
      <w:pPr>
        <w:pStyle w:val="BlockText"/>
        <w:pBdr>
          <w:top w:val="single" w:sz="8" w:space="4" w:color="404040"/>
          <w:left w:val="single" w:sz="8" w:space="4" w:color="404040"/>
          <w:bottom w:val="single" w:sz="8" w:space="4" w:color="404040"/>
          <w:right w:val="single" w:sz="8" w:space="4" w:color="404040"/>
        </w:pBdr>
      </w:pPr>
      <w:r>
        <w:t xml:space="preserve">⚖️</w:t>
      </w:r>
      <w:r>
        <w:t xml:space="preserve"> </w:t>
      </w:r>
      <w:r>
        <w:rPr>
          <w:b/>
          <w:bCs/>
        </w:rPr>
        <w:t xml:space="preserve">Lagrum:</w:t>
      </w:r>
      <w:r>
        <w:t xml:space="preserve"> </w:t>
      </w:r>
      <w:r>
        <w:t xml:space="preserve">Förhandsbedömning och beslut om utredning enligt socialtjänstlagen</w:t>
      </w:r>
      <w:r>
        <w:t xml:space="preserve"> </w:t>
      </w:r>
      <w:r>
        <w:rPr>
          <w:rStyle w:val="VerbatimChar"/>
          <w:bdr w:val="single" w:sz="6" w:space="2" w:color="7F7F7F"/>
          <w:shd w:val="clear" w:color="auto" w:fill="F2F2F2"/>
        </w:rPr>
        <w:t xml:space="preserve">[verifiera kap./§ mot SoL 2025:400 — tidigare 11 kap. 1 § SoL 2001:453]</w:t>
      </w:r>
      <w:r>
        <w:t xml:space="preserve"> </w:t>
      </w:r>
      <w:r>
        <w:t xml:space="preserve">· ⏱️</w:t>
      </w:r>
      <w:r>
        <w:t xml:space="preserve"> </w:t>
      </w:r>
      <w:r>
        <w:rPr>
          <w:b/>
          <w:bCs/>
        </w:rPr>
        <w:t xml:space="preserve">Tidsfrist:</w:t>
      </w:r>
      <w:r>
        <w:t xml:space="preserve"> </w:t>
      </w:r>
      <w:r>
        <w:t xml:space="preserve">Beslut ska fattas inom 14 dagar från det att anmälan kom in · 📄</w:t>
      </w:r>
      <w:r>
        <w:t xml:space="preserve"> </w:t>
      </w:r>
      <w:r>
        <w:rPr>
          <w:b/>
          <w:bCs/>
        </w:rPr>
        <w:t xml:space="preserve">Handlingsstatus:</w:t>
      </w:r>
      <w:r>
        <w:t xml:space="preserve"> </w:t>
      </w:r>
      <w:r>
        <w:t xml:space="preserve">Allmän handling, dokumenteras i barnets personakt</w:t>
      </w:r>
    </w:p>
    <w:p>
      <w:pPr>
        <w:pStyle w:val="BlockText"/>
      </w:pPr>
      <w:r>
        <w:rPr>
          <w:b/>
          <w:bCs/>
          <w:color w:val="1F6FC5"/>
          <w:sz w:val="16"/>
          <w:szCs w:val="16"/>
        </w:rPr>
        <w:t xml:space="preserve">Så här fyller du i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Ersätt text i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[hakparentes]</w:t>
      </w:r>
      <w:r>
        <w:rPr>
          <w:color w:val="1F6FC5"/>
          <w:sz w:val="16"/>
          <w:szCs w:val="16"/>
        </w:rPr>
        <w:t xml:space="preserve">. Rader i</w:t>
      </w:r>
      <w:r>
        <w:rPr>
          <w:color w:val="1F6FC5"/>
          <w:sz w:val="16"/>
          <w:szCs w:val="16"/>
        </w:rPr>
        <w:t xml:space="preserve"> </w:t>
      </w:r>
      <w:r>
        <w:rPr>
          <w:i/>
          <w:iCs/>
          <w:color w:val="1F6FC5"/>
          <w:sz w:val="16"/>
          <w:szCs w:val="16"/>
        </w:rPr>
        <w:t xml:space="preserve">kursiv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är handledning — radera dem i den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färdiga handlingen. Kryssrutor: sätt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x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i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[ ]</w:t>
      </w:r>
      <w:r>
        <w:rPr>
          <w:color w:val="1F6FC5"/>
          <w:sz w:val="16"/>
          <w:szCs w:val="16"/>
        </w:rPr>
        <w:t xml:space="preserve">. En förhandsbedömning är</w:t>
      </w:r>
      <w:r>
        <w:rPr>
          <w:color w:val="1F6FC5"/>
          <w:sz w:val="16"/>
          <w:szCs w:val="16"/>
        </w:rPr>
        <w:t xml:space="preserve"> </w:t>
      </w:r>
      <w:r>
        <w:rPr>
          <w:b/>
          <w:bCs/>
          <w:color w:val="1F6FC5"/>
          <w:sz w:val="16"/>
          <w:szCs w:val="16"/>
        </w:rPr>
        <w:t xml:space="preserve">ingen</w:t>
      </w:r>
      <w:r>
        <w:rPr>
          <w:b/>
          <w:bCs/>
          <w:color w:val="1F6FC5"/>
          <w:sz w:val="16"/>
          <w:szCs w:val="16"/>
        </w:rPr>
        <w:t xml:space="preserve"> </w:t>
      </w:r>
      <w:r>
        <w:rPr>
          <w:b/>
          <w:bCs/>
          <w:color w:val="1F6FC5"/>
          <w:sz w:val="16"/>
          <w:szCs w:val="16"/>
        </w:rPr>
        <w:t xml:space="preserve">utredning</w:t>
      </w:r>
      <w:r>
        <w:rPr>
          <w:color w:val="1F6FC5"/>
          <w:sz w:val="16"/>
          <w:szCs w:val="16"/>
        </w:rPr>
        <w:t xml:space="preserve">: den bygger på information som redan finns och på ett begränsat antal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kontakter — du får inte börja utreda innan beslut är fattat. Ta bara med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personuppgifter som behövs för beslutet (dataminimering). Verifiera lagrum mot din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kommuns rutin och tillämplig SoL-version (se README).</w:t>
      </w:r>
    </w:p>
    <w:p>
      <w:r>
        <w:pict>
          <v:rect style="width:0;height:1.5pt" o:hralign="center" o:hrstd="t" o:hr="t"/>
        </w:pict>
      </w:r>
    </w:p>
    <w:bookmarkStart w:id="9" w:name="barn--och-ärendeuppgifter"/>
    <w:p>
      <w:pPr>
        <w:pStyle w:val="Heading2"/>
      </w:pPr>
      <w:r>
        <w:t xml:space="preserve">1. Barn- och ärendeuppgifter</w:t>
      </w:r>
    </w:p>
    <w:p>
      <w:pPr>
        <w:pStyle w:val="FirstParagraph"/>
      </w:pPr>
      <w:r>
        <w:rPr>
          <w:b/>
          <w:bCs/>
        </w:rPr>
        <w:t xml:space="preserve">Barnets namn:</w:t>
      </w:r>
      <w:r>
        <w:t xml:space="preserve"> </w:t>
      </w:r>
      <w:r>
        <w:rPr>
          <w:vanish/>
        </w:rPr>
        <w:t xml:space="preserve">[För- och efternamn]</w:t>
      </w:r>
      <w:r>
        <w:t xml:space="preserve"> </w:t>
      </w:r>
      <w:r>
        <w:rPr>
          <w:b/>
          <w:bCs/>
        </w:rPr>
        <w:t xml:space="preserve">Personnummer:</w:t>
      </w:r>
      <w:r>
        <w:t xml:space="preserve"> </w:t>
      </w:r>
      <w:r>
        <w:rPr>
          <w:vanish/>
        </w:rPr>
        <w:t xml:space="preserve">[ÅÅÅÅMMDD-XXXX]</w:t>
      </w:r>
      <w:r>
        <w:t xml:space="preserve"> </w:t>
      </w:r>
      <w:r>
        <w:rPr>
          <w:b/>
          <w:bCs/>
        </w:rPr>
        <w:t xml:space="preserve">Ärende/dnr:</w:t>
      </w:r>
      <w:r>
        <w:t xml:space="preserve"> </w:t>
      </w:r>
      <w:r>
        <w:rPr>
          <w:vanish/>
        </w:rPr>
        <w:t xml:space="preserve">[hubsCaseId / Treserva-dnr om det finns]</w:t>
      </w:r>
      <w:r>
        <w:t xml:space="preserve"> </w:t>
      </w:r>
      <w:r>
        <w:rPr>
          <w:b/>
          <w:bCs/>
        </w:rPr>
        <w:t xml:space="preserve">Enhet:</w:t>
      </w:r>
      <w:r>
        <w:t xml:space="preserve"> </w:t>
      </w:r>
      <w:r>
        <w:rPr>
          <w:vanish/>
        </w:rPr>
        <w:t xml:space="preserve">[Mottagning / Barn och familj]</w:t>
      </w:r>
      <w:r>
        <w:t xml:space="preserve"> </w:t>
      </w:r>
      <w:r>
        <w:rPr>
          <w:b/>
          <w:bCs/>
        </w:rPr>
        <w:t xml:space="preserve">Vårdnadshavare:</w:t>
      </w:r>
      <w:r>
        <w:t xml:space="preserve"> </w:t>
      </w:r>
      <w:r>
        <w:rPr>
          <w:vanish/>
        </w:rPr>
        <w:t xml:space="preserve">[Namn — och om vårdnaden är gemensam/ensam, om relevant för beslutet]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Vid syskonärende: gör en egen förhandsbedömning per barn (ett ärende per barn, delad anmälan).</w:t>
      </w:r>
      <w:r>
        <w:t xml:space="preserve"> </w:t>
      </w:r>
      <w:r>
        <w:rPr>
          <w:i/>
          <w:iCs/>
          <w:color w:val="1F6FC5"/>
          <w:sz w:val="16"/>
          <w:szCs w:val="16"/>
        </w:rPr>
        <w:t xml:space="preserve">(kopiera avsnittet vid flera barn)</w:t>
      </w:r>
    </w:p>
    <w:bookmarkEnd w:id="9"/>
    <w:bookmarkStart w:id="12" w:name="underlag-för-förhandsbedömningen"/>
    <w:p>
      <w:pPr>
        <w:pStyle w:val="Heading2"/>
      </w:pPr>
      <w:r>
        <w:t xml:space="preserve">2. Underlag för förhandsbedömningen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Räkna upp det underlag som bedömningen vilar på. Underlaget ska redan finnas i ärendet eller ha inhämtats genom det begränsade kontaktutrymme som förhandsbedömningen tillåter — inte genom utredningsåtgärder.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Anmälan/ansökan inkom:</w:t>
            </w:r>
            <w:r>
              <w:t xml:space="preserve"> </w:t>
            </w:r>
            <w:r>
              <w:t xml:space="preserve"> </w:t>
            </w:r>
            <w:r>
              <w:rPr>
                <w:b/>
                <w:bCs/>
              </w:rPr>
              <w:t xml:space="preserve">Typ av aktualisering: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[ÅÅÅÅ-MM-DD klockslag]</w:t>
            </w:r>
          </w:p>
        </w:tc>
      </w:tr>
    </w:tbl>
    <w:p>
      <w:pPr>
        <w:spacing w:before="0" w:after="60"/>
      </w:pPr>
    </w:p>
    <w:p>
      <w:pPr>
        <w:pStyle w:val="Compact"/>
        <w:numPr>
          <w:ilvl w:val="0"/>
          <w:numId w:val="1001"/>
        </w:numPr>
      </w:pPr>
      <w:r>
        <w:t xml:space="preserve">Anmälan (oro för barn)</w:t>
      </w:r>
    </w:p>
    <w:p>
      <w:pPr>
        <w:pStyle w:val="Compact"/>
        <w:numPr>
          <w:ilvl w:val="0"/>
          <w:numId w:val="1002"/>
        </w:numPr>
      </w:pPr>
      <w:r>
        <w:t xml:space="preserve">Ansökan från vårdnadshavare/barn</w:t>
      </w:r>
    </w:p>
    <w:p>
      <w:pPr>
        <w:pStyle w:val="Compact"/>
        <w:numPr>
          <w:ilvl w:val="0"/>
          <w:numId w:val="1003"/>
        </w:numPr>
      </w:pPr>
      <w:r>
        <w:t xml:space="preserve">Annan aktualisering: </w:t>
      </w:r>
      <w:r>
        <w:rPr>
          <w:vanish/>
        </w:rPr>
        <w:t xml:space="preserve">[beskriv]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4675" w:type="dxa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Anmälare/sökande/källa: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[Namn/funktion — eller "anonym" om anmälaren är okänd/skyddad]</w:t>
            </w:r>
          </w:p>
        </w:tc>
        <w:tc>
          <w:tcPr>
            <w:tcW w:w="4675" w:type="dxa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Omedelbar skyddsbedömning: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[Gjord ÅÅÅÅ-MM-DD — resultat i korthet]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t xml:space="preserve">→ Ursprungsdokument:</w:t>
      </w:r>
      <w:r>
        <w:t xml:space="preserve"> </w:t>
      </w:r>
      <w:hyperlink r:id="rId10">
        <w:r>
          <w:rPr>
            <w:rStyle w:val="Hyperlink"/>
          </w:rPr>
          <w:t xml:space="preserve">Mottagen orosanmälan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Omedelbar skyddsbedömning</w:t>
        </w:r>
      </w:hyperlink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Tidigare kännedom i ärendet: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[Tidigare anmälningar, pågående/avslutade insatser, tidigare utredningar, skyddade uppgifter — det som är känt utan att utreda.]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rPr>
          <w:b/>
          <w:bCs/>
        </w:rPr>
        <w:t xml:space="preserve">Begränsad kontakt under förhandsbedömningen (om sådan tagits):</w:t>
      </w:r>
    </w:p>
    <w:p>
      <w:pPr>
        <w:pStyle w:val="Compact"/>
        <w:numPr>
          <w:ilvl w:val="0"/>
          <w:numId w:val="1004"/>
        </w:numPr>
      </w:pPr>
      <w:r>
        <w:t xml:space="preserve">Kontakt med vårdnadshavare — </w:t>
      </w:r>
      <w:r>
        <w:rPr>
          <w:vanish/>
        </w:rPr>
        <w:t xml:space="preserve">[datum, kort vad som framkom]</w:t>
      </w:r>
    </w:p>
    <w:p>
      <w:pPr>
        <w:pStyle w:val="Compact"/>
        <w:numPr>
          <w:ilvl w:val="0"/>
          <w:numId w:val="1005"/>
        </w:numPr>
      </w:pPr>
      <w:r>
        <w:t xml:space="preserve">Kontakt med barnet — </w:t>
      </w:r>
      <w:r>
        <w:rPr>
          <w:vanish/>
        </w:rPr>
        <w:t xml:space="preserve">[datum, kort vad som framkom]</w:t>
      </w:r>
    </w:p>
    <w:p>
      <w:pPr>
        <w:pStyle w:val="Compact"/>
        <w:numPr>
          <w:ilvl w:val="0"/>
          <w:numId w:val="1006"/>
        </w:numPr>
      </w:pPr>
      <w:r>
        <w:t xml:space="preserve">Kontakt med anmälaren (förtydligande av anmälan) — </w:t>
      </w:r>
      <w:r>
        <w:rPr>
          <w:vanish/>
        </w:rPr>
        <w:t xml:space="preserve">[datum, kort vad som framkom]</w:t>
      </w:r>
    </w:p>
    <w:p>
      <w:pPr>
        <w:pStyle w:val="Compact"/>
        <w:numPr>
          <w:ilvl w:val="0"/>
          <w:numId w:val="1007"/>
        </w:numPr>
      </w:pPr>
      <w:r>
        <w:t xml:space="preserve">Ingen kontakt utöver anmälan/befintlig information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Kontakterna ovan får bara syfta till att förstå anmälan/ansökan — inte till att samla in ny utredningsinformation. Beakta barnets rätt att komma till tals (Barnkonventionen, lag 2018:1197).</w:t>
      </w:r>
    </w:p>
    <w:bookmarkEnd w:id="12"/>
    <w:bookmarkStart w:id="13" w:name="vad-förhandsbedömningen-bygger-på"/>
    <w:p>
      <w:pPr>
        <w:pStyle w:val="Heading2"/>
      </w:pPr>
      <w:r>
        <w:t xml:space="preserve">3. Vad förhandsbedömningen bygger på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Förhandsbedömningen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b/>
          <w:bCs/>
          <w:i/>
          <w:iCs/>
          <w:color w:val="1F6FC5"/>
          <w:sz w:val="16"/>
          <w:szCs w:val="16"/>
        </w:rPr>
        <w:t xml:space="preserve">får inte vara en utredning</w:t>
      </w:r>
      <w:r>
        <w:rPr>
          <w:i/>
          <w:iCs/>
          <w:color w:val="1F6FC5"/>
          <w:sz w:val="16"/>
          <w:szCs w:val="16"/>
        </w:rPr>
        <w:t xml:space="preserve">. Ta inga nya utredningskontakter utöver den begränsade kontakt som beskrivs i avsnitt 2. Bedömningen görs på redan tillgänglig information. Beskriv här kortfattat vilken information som legat till grund och vad du medvetet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b/>
          <w:bCs/>
          <w:i/>
          <w:iCs/>
          <w:color w:val="1F6FC5"/>
          <w:sz w:val="16"/>
          <w:szCs w:val="16"/>
        </w:rPr>
        <w:t xml:space="preserve">inte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i/>
          <w:iCs/>
          <w:color w:val="1F6FC5"/>
          <w:sz w:val="16"/>
          <w:szCs w:val="16"/>
        </w:rPr>
        <w:t xml:space="preserve">har gjort (t.ex. inte hämtat in uppgifter från skola/BVC — det hör till en utredning).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0" w:after="0"/>
            </w:pPr>
            <w:r>
              <w:rPr>
                <w:vanish/>
              </w:rPr>
              <w:t xml:space="preserve">[Sammanfatta det befintliga informationsunderlaget och avgränsningen. Notera om något är oklart men medvetet lämnats till en eventuell utredning.]</w:t>
            </w:r>
          </w:p>
          <w:p>
            <w:pPr>
              <w:spacing w:before="0" w:after="0"/>
            </w:pPr>
          </w:p>
          <w:p>
            <w:pPr>
              <w:spacing w:before="0" w:after="120"/>
            </w:pPr>
          </w:p>
        </w:tc>
      </w:tr>
    </w:tbl>
    <w:p>
      <w:pPr>
        <w:spacing w:before="0" w:after="60"/>
      </w:pPr>
    </w:p>
    <w:bookmarkEnd w:id="13"/>
    <w:bookmarkStart w:id="14" w:name="bedömning"/>
    <w:p>
      <w:pPr>
        <w:pStyle w:val="Heading2"/>
      </w:pPr>
      <w:r>
        <w:t xml:space="preserve">4. Bedömning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Väg samman risk- och skyddssignaler mot barnets situation och behov. Barnets bästa ska vara avgörande (Barnkonventionen art. 3). Motivera kort — bedömningen ska hålla oavsett vad beslutet i avsnitt 5 blir.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4675" w:type="dxa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Risk-/orossignaler: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[Vad i underlaget talar för att barnet kan behöva utredas?]</w:t>
            </w:r>
          </w:p>
        </w:tc>
        <w:tc>
          <w:tcPr>
            <w:tcW w:w="4675" w:type="dxa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Skydds-/friskfaktorer: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[Vad talar emot ett utredningsbehov?]</w:t>
            </w:r>
          </w:p>
        </w:tc>
      </w:tr>
      <w:tr>
        <w:tc>
          <w:tcPr>
            <w:tcW w:w="4675" w:type="dxa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Barnets situation och behov: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[Ålder, sårbarhet, uttryckt vilja om känd]</w:t>
            </w:r>
          </w:p>
        </w:tc>
        <w:tc>
          <w:tcPr>
            <w:tcW w:w="4675" w:type="dxa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Sammanvägd bedömning: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[Din slutsats i sak, kort motiverad.]</w:t>
            </w:r>
          </w:p>
        </w:tc>
      </w:tr>
    </w:tbl>
    <w:p>
      <w:pPr>
        <w:spacing w:before="0" w:after="60"/>
      </w:pPr>
    </w:p>
    <w:bookmarkEnd w:id="14"/>
    <w:bookmarkStart w:id="15" w:name="beslut"/>
    <w:p>
      <w:pPr>
        <w:pStyle w:val="Heading2"/>
      </w:pPr>
      <w:r>
        <w:t xml:space="preserve">5. Beslut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Sätt kryss i ett alternativ. Beslutet ska fattas inom 14 dagar från det att anmälan kom in.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Inleda utredning enligt socialtjänstlagen</w:t>
      </w:r>
      <w:r>
        <w:t xml:space="preserve"> </w:t>
      </w:r>
      <w:r>
        <w:rPr>
          <w:rStyle w:val="VerbatimChar"/>
          <w:bdr w:val="single" w:sz="6" w:space="2" w:color="7F7F7F"/>
          <w:shd w:val="clear" w:color="auto" w:fill="F2F2F2"/>
        </w:rPr>
        <w:t xml:space="preserve">[verifiera kap./§ mot SoL 2025:400]</w:t>
      </w:r>
      <w:r>
        <w:t xml:space="preserve"> </w:t>
      </w:r>
      <w:r>
        <w:t xml:space="preserve">— det finns skäl att utreda barnets behov av skydd eller stöd.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 inleda utredning</w:t>
      </w:r>
      <w:r>
        <w:t xml:space="preserve"> </w:t>
      </w:r>
      <w:r>
        <w:t xml:space="preserve">— anmälan/ansökan föranleder inte en utredning.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Anmälan/ansökan hanteras på annat sätt</w:t>
      </w:r>
      <w:r>
        <w:t xml:space="preserve"> </w:t>
      </w:r>
      <w:r>
        <w:t xml:space="preserve">— [ange hur, t.ex. hänvisning till</w:t>
      </w:r>
      <w:r>
        <w:t xml:space="preserve"> </w:t>
      </w:r>
      <w:r>
        <w:t xml:space="preserve">öppen verksamhet, servicekontakt, överlämning till annan huvudman]</w:t>
      </w:r>
    </w:p>
    <w:bookmarkEnd w:id="15"/>
    <w:bookmarkStart w:id="16" w:name="motivering-till-beslutet"/>
    <w:p>
      <w:pPr>
        <w:pStyle w:val="Heading2"/>
      </w:pPr>
      <w:r>
        <w:t xml:space="preserve">6. Motivering till beslutet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Motiveringen är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b/>
          <w:bCs/>
          <w:i/>
          <w:iCs/>
          <w:color w:val="1F6FC5"/>
          <w:sz w:val="16"/>
          <w:szCs w:val="16"/>
        </w:rPr>
        <w:t xml:space="preserve">obligatorisk</w:t>
      </w:r>
      <w:r>
        <w:rPr>
          <w:i/>
          <w:iCs/>
          <w:color w:val="1F6FC5"/>
          <w:sz w:val="16"/>
          <w:szCs w:val="16"/>
        </w:rPr>
        <w:t xml:space="preserve">, särskilt vid beslut att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b/>
          <w:bCs/>
          <w:i/>
          <w:iCs/>
          <w:color w:val="1F6FC5"/>
          <w:sz w:val="16"/>
          <w:szCs w:val="16"/>
        </w:rPr>
        <w:t xml:space="preserve">inte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i/>
          <w:iCs/>
          <w:color w:val="1F6FC5"/>
          <w:sz w:val="16"/>
          <w:szCs w:val="16"/>
        </w:rPr>
        <w:t xml:space="preserve">inleda utredning. Koppla till bedömningen i avsnitt 4. Vid ansökan från vårdnadshavare/barn: ett avslag kan vara överklagbart — beakta förvaltningslagens (2017:900) regler om motivering och överklagande och kommunicera beslutet till sökanden.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0" w:after="0"/>
            </w:pPr>
            <w:r>
              <w:rPr>
                <w:vanish/>
              </w:rPr>
              <w:t xml:space="preserve">[Motivera varför utredning inleds / inte inleds / hanteras på annat sätt. Var konkret och saklig.]</w:t>
            </w:r>
          </w:p>
          <w:p>
            <w:pPr>
              <w:spacing w:before="0" w:after="0"/>
            </w:pPr>
          </w:p>
          <w:p>
            <w:pPr>
              <w:spacing w:before="0" w:after="120"/>
            </w:pPr>
          </w:p>
        </w:tc>
      </w:tr>
    </w:tbl>
    <w:p>
      <w:pPr>
        <w:spacing w:before="0" w:after="60"/>
      </w:pPr>
    </w:p>
    <w:bookmarkEnd w:id="16"/>
    <w:bookmarkStart w:id="19" w:name="beslutsfattare-delegation-och-nästa-steg"/>
    <w:p>
      <w:pPr>
        <w:pStyle w:val="Heading2"/>
      </w:pPr>
      <w:r>
        <w:t xml:space="preserve">7. Beslutsfattare, delegation och nästa steg</w:t>
      </w:r>
    </w:p>
    <w:p>
      <w:pPr>
        <w:pStyle w:val="FirstParagraph"/>
      </w:pPr>
      <w:r>
        <w:rPr>
          <w:b/>
          <w:bCs/>
        </w:rPr>
        <w:t xml:space="preserve">Beslutet fattat av:</w:t>
      </w:r>
      <w:r>
        <w:t xml:space="preserve"> </w:t>
      </w:r>
      <w:r>
        <w:rPr>
          <w:vanish/>
        </w:rPr>
        <w:t xml:space="preserve">[Namn]</w:t>
      </w:r>
      <w:r>
        <w:t xml:space="preserve"> </w:t>
      </w:r>
      <w:r>
        <w:rPr>
          <w:b/>
          <w:bCs/>
        </w:rPr>
        <w:t xml:space="preserve">Titel:</w:t>
      </w:r>
      <w:r>
        <w:t xml:space="preserve"> </w:t>
      </w:r>
      <w:r>
        <w:rPr>
          <w:vanish/>
        </w:rPr>
        <w:t xml:space="preserve">[Titel, t.ex. 1:e socialsekreterare / enhetschef]</w:t>
      </w:r>
      <w:r>
        <w:t xml:space="preserve"> </w:t>
      </w:r>
      <w:r>
        <w:rPr>
          <w:b/>
          <w:bCs/>
        </w:rPr>
        <w:t xml:space="preserve">Delegationspunkt:</w:t>
      </w:r>
      <w:r>
        <w:t xml:space="preserve"> </w:t>
      </w:r>
      <w:r>
        <w:rPr>
          <w:vanish/>
        </w:rPr>
        <w:t xml:space="preserve">[Punkt i delegationsordningen som beslutet stödjer sig på]</w:t>
      </w:r>
      <w:r>
        <w:t xml:space="preserve"> </w:t>
      </w:r>
      <w:r>
        <w:rPr>
          <w:b/>
          <w:bCs/>
        </w:rPr>
        <w:t xml:space="preserve">Beslutsdatum:</w:t>
      </w:r>
      <w:r>
        <w:t xml:space="preserve"> </w:t>
      </w:r>
      <w:r>
        <w:rPr>
          <w:vanish/>
        </w:rPr>
        <w:t xml:space="preserve">[ÅÅÅÅ-MM-DD — ska ligga inom 14 dagar från att anmälan kom in]</w:t>
      </w:r>
    </w:p>
    <w:p>
      <w:pPr>
        <w:pStyle w:val="BodyText"/>
      </w:pPr>
      <w:r>
        <w:rPr>
          <w:b/>
          <w:bCs/>
        </w:rPr>
        <w:t xml:space="preserve">Nästa steg:</w:t>
      </w:r>
    </w:p>
    <w:p>
      <w:pPr>
        <w:pStyle w:val="Compact"/>
        <w:numPr>
          <w:ilvl w:val="0"/>
          <w:numId w:val="1012"/>
        </w:numPr>
      </w:pPr>
      <w:r>
        <w:t xml:space="preserve">Vid inledd utredning → upprätta utredningsplan och genomför utredningen:</w:t>
      </w:r>
      <w:r>
        <w:t xml:space="preserve"> </w:t>
      </w:r>
      <w:hyperlink r:id="rId17">
        <w:r>
          <w:rPr>
            <w:rStyle w:val="Hyperlink"/>
          </w:rPr>
          <w:t xml:space="preserve">Utredningsplan (BBIC)</w:t>
        </w:r>
      </w:hyperlink>
      <w:r>
        <w:t xml:space="preserve"> </w:t>
      </w:r>
      <w:r>
        <w:t xml:space="preserve">·</w:t>
      </w:r>
      <w:r>
        <w:t xml:space="preserve"> </w:t>
      </w:r>
      <w:hyperlink r:id="rId18">
        <w:r>
          <w:rPr>
            <w:rStyle w:val="Hyperlink"/>
          </w:rPr>
          <w:t xml:space="preserve">BBIC-utredning</w:t>
        </w:r>
      </w:hyperlink>
    </w:p>
    <w:p>
      <w:pPr>
        <w:pStyle w:val="Compact"/>
        <w:numPr>
          <w:ilvl w:val="0"/>
          <w:numId w:val="1013"/>
        </w:numPr>
      </w:pPr>
      <w:r>
        <w:t xml:space="preserve">Vid beslut att inte inleda / annan hantering → återkoppla och avsluta</w:t>
      </w:r>
      <w:r>
        <w:t xml:space="preserve"> </w:t>
      </w:r>
      <w:r>
        <w:t xml:space="preserve">aktualiseringen: </w:t>
      </w:r>
      <w:r>
        <w:rPr>
          <w:vanish/>
        </w:rPr>
        <w:t xml:space="preserve">[ange vad som görs och vem som ansvarar]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Överväg om och hur berörda ska informeras om beslutet. Gör en menprövning innan uppgifter delas — inre sekretess och offentlighets- och sekretesslagen (2009:400) gäller, och bara nödvändiga uppgifter ska lämnas ut.</w:t>
      </w:r>
    </w:p>
    <w:p>
      <w:r>
        <w:pict>
          <v:rect style="width:0;height:1.5pt" o:hralign="center" o:hrstd="t" o:hr="t"/>
        </w:pict>
      </w:r>
    </w:p>
    <w:bookmarkEnd w:id="19"/>
    <w:bookmarkStart w:id="20" w:name="underskrift-dokumentinformation"/>
    <w:p>
      <w:pPr>
        <w:pStyle w:val="Heading2"/>
      </w:pPr>
      <w:r>
        <w:t xml:space="preserve">Underskrift &amp; dokumentinformation</w:t>
      </w:r>
    </w:p>
    <w:tbl>
      <w:tblPr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Fält</w:t>
            </w:r>
          </w:p>
        </w:tc>
        <w:tc>
          <w:tcPr/>
          <w:p>
            <w:pPr>
              <w:pStyle w:val="Compact"/>
            </w:pPr>
            <w:r>
              <w:t xml:space="preserve">Uppgift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Förhandsbedömning gjord av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[Namn, titel]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Beslut fattat av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[Namn, titel, delegationspunkt]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Beslutsdatum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[ÅÅÅÅ-MM-DD]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Anmälan/ansökan inkom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[ÅÅÅÅ-MM-DD]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Bedömningen gjord tillsammans med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[Ev. medbedömare/gruppledare]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Dokumenterat i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[Personakt / Treserva dnr]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Hubs mallbibliotek · Socialsekreterare barn &amp; familj · Mall v1.0 (utkast).</w:t>
      </w:r>
      <w:r>
        <w:t xml:space="preserve"> </w:t>
      </w:r>
      <w:r>
        <w:rPr>
          <w:i/>
          <w:iCs/>
        </w:rPr>
        <w:t xml:space="preserve">Lagrumshänvisningar ska verifieras mot tillämplig socialtjänstlag (SoL 2025:400) och</w:t>
      </w:r>
      <w:r>
        <w:rPr>
          <w:i/>
          <w:iCs/>
        </w:rPr>
        <w:t xml:space="preserve"> </w:t>
      </w:r>
      <w:r>
        <w:rPr>
          <w:i/>
          <w:iCs/>
        </w:rPr>
        <w:t xml:space="preserve">kommunens egna rutiner innan produktiv användning. Granskas av verksamhetsjurist.</w:t>
      </w:r>
    </w:p>
    <w:bookmarkEnd w:id="20"/>
    <w:bookmarkEnd w:id="21"/>
    <w:sectPr>
      <w:headerReference w:type="default" r:id="rId901"/>
      <w:footerReference w:type="default" r:id="rId902"/>
      <w:footnotePr>
        <w:numRestart w:val="eachSect"/>
      </w:footnotePr>
    </w:sectPr>
  </w:body>
</w:document>
<!--HUBS_BLANKETT_V2--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120" w:after="0"/>
    </w:pPr>
    <w:r>
      <w:rPr>
        <w:color w:val="595959"/>
        <w:sz w:val="18"/>
        <w:szCs w:val="18"/>
      </w:rPr>
      <w:t xml:space="preserve">03 Förhandsbedömning och beslut att inleda eller inte inleda utredning · Ärende: </w:t>
    </w:r>
    <w:r>
      <w:rPr>
        <w:color w:val="595959"/>
        <w:sz w:val="18"/>
        <w:szCs w:val="18"/>
        <w:vanish/>
      </w:rPr>
      <w:t xml:space="preserve">[hubsCaseId / Treserva-dnr]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tabs>
        <w:tab w:val="right" w:pos="9350"/>
      </w:tabs>
      <w:spacing w:before="0" w:after="40"/>
    </w:pPr>
    <w:r>
      <w:rPr>
        <w:i/>
        <w:iCs/>
        <w:color w:val="595959"/>
        <w:sz w:val="18"/>
        <w:szCs w:val="18"/>
      </w:rPr>
      <w:t xml:space="preserve">[Kommunens namn]</w:t>
    </w:r>
    <w:r>
      <w:rPr>
        <w:color w:val="595959"/>
        <w:sz w:val="18"/>
        <w:szCs w:val="18"/>
      </w:rPr>
      <w:tab/>
      <w:t xml:space="preserve">Version 1.0 (utkast) · 2026-07-07</w:t>
    </w:r>
  </w:p>
  <w:p>
    <w:pPr>
      <w:jc w:val="right"/>
      <w:spacing w:before="0" w:after="120"/>
    </w:pPr>
    <w:r>
      <w:rPr>
        <w:color w:val="595959"/>
        <w:sz w:val="18"/>
        <w:szCs w:val="18"/>
      </w:rPr>
      <w:t xml:space="preserve">Sida </w:t>
    </w:r>
    <w:fldSimple w:instr=" PAGE ">
      <w:r>
        <w:rPr>
          <w:color w:val="595959"/>
          <w:sz w:val="18"/>
          <w:szCs w:val="18"/>
        </w:rPr>
        <w:t>1</w:t>
      </w:r>
    </w:fldSimple>
    <w:r>
      <w:rPr>
        <w:color w:val="595959"/>
        <w:sz w:val="18"/>
        <w:szCs w:val="18"/>
      </w:rPr>
      <w:t xml:space="preserve"> (</w:t>
    </w:r>
    <w:fldSimple w:instr=" NUMPAGES ">
      <w:r>
        <w:rPr>
          <w:color w:val="595959"/>
          <w:sz w:val="18"/>
          <w:szCs w:val="18"/>
        </w:rPr>
        <w:t>1</w:t>
      </w:r>
    </w:fldSimple>
    <w:r>
      <w:rPr>
        <w:color w:val="595959"/>
        <w:sz w:val="18"/>
        <w:szCs w:val="18"/>
      </w:rPr>
      <w:t>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01-mottagen-orosanmalan.md" TargetMode="External" /><Relationship Type="http://schemas.openxmlformats.org/officeDocument/2006/relationships/hyperlink" Id="rId11" Target="02-omedelbar-skyddsbedomning.md" TargetMode="External" /><Relationship Type="http://schemas.openxmlformats.org/officeDocument/2006/relationships/hyperlink" Id="rId17" Target="04-utredningsplan-bbic.md" TargetMode="External" /><Relationship Type="http://schemas.openxmlformats.org/officeDocument/2006/relationships/hyperlink" Id="rId18" Target="05-bbic-utredning.md" TargetMode="External" /><Relationship Id="rId901" Type="http://schemas.openxmlformats.org/officeDocument/2006/relationships/header" Target="header1.xml"/><Relationship Id="rId902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01-mottagen-orosanmalan.md" TargetMode="External" /><Relationship Type="http://schemas.openxmlformats.org/officeDocument/2006/relationships/hyperlink" Id="rId11" Target="02-omedelbar-skyddsbedomning.md" TargetMode="External" /><Relationship Type="http://schemas.openxmlformats.org/officeDocument/2006/relationships/hyperlink" Id="rId17" Target="04-utredningsplan-bbic.md" TargetMode="External" /><Relationship Type="http://schemas.openxmlformats.org/officeDocument/2006/relationships/hyperlink" Id="rId18" Target="05-bbic-utredn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2026-07-07T07:57:48Z</dcterms:created>
  <dcterms:modified xsi:type="dcterms:W3CDTF">2026-07-07T07:57:48Z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