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journalanteckning-löpande-dokumentation"/>
    <w:p>
      <w:pPr>
        <w:pStyle w:val="Heading1"/>
      </w:pPr>
      <w:r>
        <w:t xml:space="preserve">Journalanteckning (löpande dokumentation)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rPr>
          <w:b/>
          <w:bCs/>
        </w:rPr>
        <w:t xml:space="preserve">Om mallen</w:t>
      </w:r>
      <w:r>
        <w:t xml:space="preserve"> </w:t>
      </w:r>
      <w:r>
        <w:t xml:space="preserve">— Används för</w:t>
      </w:r>
      <w:r>
        <w:t xml:space="preserve"> </w:t>
      </w:r>
      <w:r>
        <w:rPr>
          <w:b/>
          <w:bCs/>
        </w:rPr>
        <w:t xml:space="preserve">löpande dokumentation</w:t>
      </w:r>
      <w:r>
        <w:t xml:space="preserve"> </w:t>
      </w:r>
      <w:r>
        <w:t xml:space="preserve">av handläggning, åtgärder och</w:t>
      </w:r>
      <w:r>
        <w:t xml:space="preserve"> </w:t>
      </w:r>
      <w:r>
        <w:t xml:space="preserve">händelser av betydelse i ärendet. Fylls i fortlöpande av ansvarig socialsekreterare —</w:t>
      </w:r>
      <w:r>
        <w:t xml:space="preserve"> </w:t>
      </w:r>
      <w:r>
        <w:t xml:space="preserve">en anteckning per händelse — och bygger tillsammans med övriga handlingar barnets</w:t>
      </w:r>
      <w:r>
        <w:t xml:space="preserve"> </w:t>
      </w:r>
      <w:r>
        <w:t xml:space="preserve">personakt. Journalen ska göra handläggningen spårbar: vad som skett, när, och vilka</w:t>
      </w:r>
      <w:r>
        <w:t xml:space="preserve"> </w:t>
      </w:r>
      <w:r>
        <w:t xml:space="preserve">bedömningar och beslut som fattats.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t xml:space="preserve">⚖️</w:t>
      </w:r>
      <w:r>
        <w:t xml:space="preserve"> </w:t>
      </w:r>
      <w:r>
        <w:rPr>
          <w:b/>
          <w:bCs/>
        </w:rPr>
        <w:t xml:space="preserve">Lagrum:</w:t>
      </w:r>
      <w:r>
        <w:t xml:space="preserve"> </w:t>
      </w:r>
      <w:r>
        <w:t xml:space="preserve">Dokumentationsskyldighet enligt 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§]</w:t>
      </w:r>
      <w:r>
        <w:t xml:space="preserve"> </w:t>
      </w:r>
      <w:r>
        <w:t xml:space="preserve">och SOSFS 2014:5 · 📄</w:t>
      </w:r>
      <w:r>
        <w:t xml:space="preserve"> </w:t>
      </w:r>
      <w:r>
        <w:rPr>
          <w:b/>
          <w:bCs/>
        </w:rPr>
        <w:t xml:space="preserve">Handlingsstatus:</w:t>
      </w:r>
      <w:r>
        <w:t xml:space="preserve"> </w:t>
      </w:r>
      <w:r>
        <w:t xml:space="preserve">Allmän handling, förvaras i barnets personakt</w:t>
      </w:r>
    </w:p>
    <w:p>
      <w:pPr>
        <w:pStyle w:val="BlockText"/>
      </w:pPr>
      <w:r>
        <w:rPr>
          <w:b/>
          <w:bCs/>
          <w:color w:val="1F6FC5"/>
          <w:sz w:val="16"/>
          <w:szCs w:val="16"/>
        </w:rPr>
        <w:t xml:space="preserve">Så här fyller du i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Ersätt text 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[hakparentes]</w:t>
      </w:r>
      <w:r>
        <w:rPr>
          <w:color w:val="1F6FC5"/>
          <w:sz w:val="16"/>
          <w:szCs w:val="16"/>
        </w:rPr>
        <w:t xml:space="preserve">. Rader i</w:t>
      </w:r>
      <w:r>
        <w:rPr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kursiv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är handledning — radera dem i den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färdiga handlingen. Kryssrutor: sätt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x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 ]</w:t>
      </w:r>
      <w:r>
        <w:rPr>
          <w:color w:val="1F6FC5"/>
          <w:sz w:val="16"/>
          <w:szCs w:val="16"/>
        </w:rPr>
        <w:t xml:space="preserve">. Skriv en</w:t>
      </w:r>
      <w:r>
        <w:rPr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ny anteckning per</w:t>
      </w:r>
      <w:r>
        <w:rPr>
          <w:b/>
          <w:bCs/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händelse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genom att kopiera blocket i avsnitt 2. Håll isär</w:t>
      </w:r>
      <w:r>
        <w:rPr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faktauppgift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och</w:t>
      </w:r>
      <w:r>
        <w:rPr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bedömning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— läsaren ska kunna se vad som är iakttaget och vad som är din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värdering. Dokumentera bara det som är nödvändigt för handläggning och genomförande,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och gör menprövning innan du för in uppgifter om tredje man. Verifiera lagrum mot din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kommuns rutin och tillämplig SoL-version (se README).</w:t>
      </w:r>
    </w:p>
    <w:p>
      <w:r>
        <w:pict>
          <v:rect style="width:0;height:1.5pt" o:hralign="center" o:hrstd="t" o:hr="t"/>
        </w:pict>
      </w:r>
    </w:p>
    <w:bookmarkStart w:id="9" w:name="ärende--och-barnuppgifter"/>
    <w:p>
      <w:pPr>
        <w:pStyle w:val="Heading2"/>
      </w:pPr>
      <w:r>
        <w:t xml:space="preserve">1. Ärende- och barnuppgifter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Ett kort huvud som identifierar akten. Fylls i en gång — själva anteckningarna förs i avsnitt 2.</w:t>
      </w:r>
    </w:p>
    <w:p>
      <w:pPr>
        <w:pStyle w:val="BodyText"/>
      </w:pPr>
      <w:r>
        <w:rPr>
          <w:b/>
          <w:bCs/>
        </w:rPr>
        <w:t xml:space="preserve">Barnets namn:</w:t>
      </w:r>
      <w:r>
        <w:t xml:space="preserve"> </w:t>
      </w:r>
      <w:r>
        <w:rPr>
          <w:vanish/>
        </w:rPr>
        <w:t xml:space="preserve">[För- och efternamn]</w:t>
      </w:r>
      <w:r>
        <w:t xml:space="preserve"> </w:t>
      </w:r>
      <w:r>
        <w:rPr>
          <w:b/>
          <w:bCs/>
        </w:rPr>
        <w:t xml:space="preserve">Personnummer:</w:t>
      </w:r>
      <w:r>
        <w:t xml:space="preserve"> </w:t>
      </w:r>
      <w:r>
        <w:rPr>
          <w:vanish/>
        </w:rPr>
        <w:t xml:space="preserve">[ÅÅÅÅMMDD-XXXX]</w:t>
      </w:r>
      <w:r>
        <w:t xml:space="preserve"> </w:t>
      </w:r>
      <w:r>
        <w:rPr>
          <w:b/>
          <w:bCs/>
        </w:rPr>
        <w:t xml:space="preserve">Ärende/dnr:</w:t>
      </w:r>
      <w:r>
        <w:t xml:space="preserve"> </w:t>
      </w:r>
      <w:r>
        <w:rPr>
          <w:vanish/>
        </w:rPr>
        <w:t xml:space="preserve">[hubsCaseId / Treserva-dnr om det finns]</w:t>
      </w:r>
      <w:r>
        <w:t xml:space="preserve"> </w:t>
      </w:r>
      <w:r>
        <w:rPr>
          <w:b/>
          <w:bCs/>
        </w:rPr>
        <w:t xml:space="preserve">Enhet/grupp:</w:t>
      </w:r>
      <w:r>
        <w:t xml:space="preserve"> </w:t>
      </w:r>
      <w:r>
        <w:rPr>
          <w:vanish/>
        </w:rPr>
        <w:t xml:space="preserve">[Mottagning / Barn och familj / utredningsgrupp]</w:t>
      </w:r>
      <w:r>
        <w:t xml:space="preserve"> </w:t>
      </w:r>
      <w:r>
        <w:rPr>
          <w:b/>
          <w:bCs/>
        </w:rPr>
        <w:t xml:space="preserve">Ansvarig handläggare:</w:t>
      </w:r>
      <w:r>
        <w:t xml:space="preserve"> </w:t>
      </w:r>
      <w:r>
        <w:rPr>
          <w:vanish/>
        </w:rPr>
        <w:t xml:space="preserve">[Namn, titel]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Vid syskonärende förs en egen journal per barn (ett ärende per barn). Uppgifter om syskon eller andra tredje personer tas bara med efter menprövning och bara i den omfattning som behövs.</w:t>
      </w:r>
    </w:p>
    <w:bookmarkEnd w:id="9"/>
    <w:bookmarkStart w:id="10" w:name="journalanteckning"/>
    <w:p>
      <w:pPr>
        <w:pStyle w:val="Heading2"/>
      </w:pPr>
      <w:r>
        <w:t xml:space="preserve">2. Journalanteckning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Detta är själva anteckningen.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b/>
          <w:bCs/>
          <w:i/>
          <w:iCs/>
          <w:color w:val="1F6FC5"/>
          <w:sz w:val="16"/>
          <w:szCs w:val="16"/>
        </w:rPr>
        <w:t xml:space="preserve">Kopiera hela blocket nedan för varje ny händelse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och lägg den senaste överst eller nederst enligt din enhets rutin. Radera inte tidigare anteckningar — rätta i stället genom en ny anteckning som hänvisar till den tidigare.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(kopiera blocket vid varje ny anteckning)</w:t>
      </w:r>
    </w:p>
    <w:p>
      <w:r>
        <w:pict>
          <v:rect style="width:0;height:1.5pt" o:hralign="center" o:hrstd="t" o:hr="t"/>
        </w:pic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Datum och klockslag: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[ÅÅÅÅ-MM-DD hh:mm]</w:t>
            </w:r>
          </w:p>
        </w:tc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Händelse/åtgärd: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[Kort rubrik, t.ex. "Hembesök", "Telefonkontakt med skola", "Inkommen handling", "Beslut om insats"]</w:t>
            </w:r>
          </w:p>
        </w:tc>
      </w:tr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Närvarande/kontakt: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[Vilka deltog eller kontaktades — namn och roll. Ange om barnet var med.]</w:t>
            </w:r>
          </w:p>
        </w:tc>
      </w:tr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Vad som skett eller framkommit (faktiska uppgifter):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[Beskriv i sak vad som hände, sades eller inkom. Återge faktiska iakttagelser och uppgifter — inte din tolkning. Ange källa när det är relevant.]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Skriv sakligt och konkret. Skilj på vad barnet, vårdnadshavare respektive andra uppgett. Ta med barnets egna ord och synpunkter när barnet uttalat sig — barnets rätt att komma till tals och få sin åsikt dokumenterad ska framgå (Barnkonventionen, lag 2018:1197).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Bedömning/ställningstagande: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[Din analys och värdering av det som framkommit. Håll detta tydligt skilt från faktauppgifterna ovan.]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Motivera din bedömning och koppla den till uppgifterna. Barnets bästa ska vara vägledande. Fyll bara i om händelsen föranleder en bedömning — en ren notering (t.ex. inkommen handling) behöver ingen.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Beslut/nästa steg: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[Vad beslutas eller planeras, av vem och när. Ange om beslutet är delegerat och till vem.]</w:t>
            </w:r>
          </w:p>
        </w:tc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Signatur: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[Namn, titel — samt datum om annat än ovan]</w:t>
            </w:r>
          </w:p>
        </w:tc>
      </w:tr>
    </w:tbl>
    <w:p>
      <w:pPr>
        <w:spacing w:before="0" w:after="60"/>
      </w:pPr>
    </w:p>
    <w:p>
      <w:r>
        <w:pict>
          <v:rect style="width:0;height:1.5pt" o:hralign="center" o:hrstd="t" o:hr="t"/>
        </w:pict>
      </w:r>
    </w:p>
    <w:bookmarkEnd w:id="10"/>
    <w:bookmarkStart w:id="13" w:name="handledning-för-journalföring"/>
    <w:p>
      <w:pPr>
        <w:pStyle w:val="Heading2"/>
      </w:pPr>
      <w:r>
        <w:t xml:space="preserve">3. Handledning för journalföring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Detta avsnitt är stöd för dig som skriver — radera det i den färdiga handlingen. Anteckningarna förs i avsnitt 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Journalför det som har betydelse.</w:t>
      </w:r>
      <w:r>
        <w:t xml:space="preserve"> </w:t>
      </w:r>
      <w:r>
        <w:t xml:space="preserve">Dokumentera händelser, åtgärder och uppgifter</w:t>
      </w:r>
      <w:r>
        <w:t xml:space="preserve"> </w:t>
      </w:r>
      <w:r>
        <w:t xml:space="preserve">som har betydelse för handläggningen eller för genomförandet av en insats. Vardagliga</w:t>
      </w:r>
      <w:r>
        <w:t xml:space="preserve"> </w:t>
      </w:r>
      <w:r>
        <w:t xml:space="preserve">händelser utan betydelse för ärendet behöver inte antecknas.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Håll isär uppgift och bedömning.</w:t>
      </w:r>
      <w:r>
        <w:t xml:space="preserve"> </w:t>
      </w:r>
      <w:r>
        <w:t xml:space="preserve">Faktiska uppgifter och din bedömning ska gå att</w:t>
      </w:r>
      <w:r>
        <w:t xml:space="preserve"> </w:t>
      </w:r>
      <w:r>
        <w:t xml:space="preserve">skilja åt i texten, så att det är tydligt vad som är iakttaget och vad som är din</w:t>
      </w:r>
      <w:r>
        <w:t xml:space="preserve"> </w:t>
      </w:r>
      <w:r>
        <w:t xml:space="preserve">värdering.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Dataminimering och menprövning.</w:t>
      </w:r>
      <w:r>
        <w:t xml:space="preserve"> </w:t>
      </w:r>
      <w:r>
        <w:t xml:space="preserve">För bara in personuppgifter som behövs för</w:t>
      </w:r>
      <w:r>
        <w:t xml:space="preserve"> </w:t>
      </w:r>
      <w:r>
        <w:t xml:space="preserve">ärendet. Innan du dokumenterar uppgifter om tredje man (syskon, anhöriga,</w:t>
      </w:r>
      <w:r>
        <w:t xml:space="preserve"> </w:t>
      </w:r>
      <w:r>
        <w:t xml:space="preserve">anmälare, andra) ska en menprövning göras — ta bara med det som är nödvändigt och</w:t>
      </w:r>
      <w:r>
        <w:t xml:space="preserve"> </w:t>
      </w:r>
      <w:r>
        <w:t xml:space="preserve">väg in skyddade uppgifter och inre sekretess.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Barnets delaktighet dokumenteras.</w:t>
      </w:r>
      <w:r>
        <w:t xml:space="preserve"> </w:t>
      </w:r>
      <w:r>
        <w:t xml:space="preserve">Notera om barnet fått komma till tals, vad</w:t>
      </w:r>
      <w:r>
        <w:t xml:space="preserve"> </w:t>
      </w:r>
      <w:r>
        <w:t xml:space="preserve">barnet uttryckt och hur barnets åsikt har beaktats. Om barnet inte hörts — ange varför.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Skriv i nära anslutning till händelsen</w:t>
      </w:r>
      <w:r>
        <w:t xml:space="preserve"> </w:t>
      </w:r>
      <w:r>
        <w:t xml:space="preserve">och rätta aldrig genom att sudda; skriv en</w:t>
      </w:r>
      <w:r>
        <w:t xml:space="preserve"> </w:t>
      </w:r>
      <w:r>
        <w:t xml:space="preserve">ny, daterad anteckning som hänvisar till den tidigare.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Relaterade mallar:</w:t>
      </w:r>
      <w:r>
        <w:rPr>
          <w:i/>
          <w:iCs/>
          <w:color w:val="1F6FC5"/>
          <w:sz w:val="16"/>
          <w:szCs w:val="16"/>
        </w:rPr>
        <w:t xml:space="preserve"> </w:t>
      </w:r>
      <w:hyperlink r:id="rId11">
        <w:r>
          <w:rPr>
            <w:rStyle w:val="Hyperlink"/>
            <w:i/>
            <w:iCs/>
            <w:color w:val="1F6FC5"/>
            <w:sz w:val="16"/>
            <w:szCs w:val="16"/>
          </w:rPr>
          <w:t xml:space="preserve">BBIC-utredning</w:t>
        </w:r>
      </w:hyperlink>
      <w:r>
        <w:rPr>
          <w:i/>
          <w:iCs/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för själva utredningen och dess struktur, och</w:t>
      </w:r>
      <w:r>
        <w:rPr>
          <w:i/>
          <w:iCs/>
          <w:color w:val="1F6FC5"/>
          <w:sz w:val="16"/>
          <w:szCs w:val="16"/>
        </w:rPr>
        <w:t xml:space="preserve"> </w:t>
      </w:r>
      <w:hyperlink r:id="rId12">
        <w:r>
          <w:rPr>
            <w:rStyle w:val="Hyperlink"/>
            <w:i/>
            <w:iCs/>
            <w:color w:val="1F6FC5"/>
            <w:sz w:val="16"/>
            <w:szCs w:val="16"/>
          </w:rPr>
          <w:t xml:space="preserve">Samtalsanteckning</w:t>
        </w:r>
      </w:hyperlink>
      <w:r>
        <w:rPr>
          <w:i/>
          <w:iCs/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för mer utförlig dokumentation av ett enskilt samtal.</w:t>
      </w:r>
    </w:p>
    <w:p>
      <w:r>
        <w:pict>
          <v:rect style="width:0;height:1.5pt" o:hralign="center" o:hrstd="t" o:hr="t"/>
        </w:pict>
      </w:r>
    </w:p>
    <w:bookmarkEnd w:id="13"/>
    <w:bookmarkStart w:id="14" w:name="underskrift-dokumentinformation"/>
    <w:p>
      <w:pPr>
        <w:pStyle w:val="Heading2"/>
      </w:pPr>
      <w:r>
        <w:t xml:space="preserve">Underskrift &amp; dokumentinformation</w:t>
      </w:r>
    </w:p>
    <w:tbl>
      <w:tblPr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Fält</w:t>
            </w:r>
          </w:p>
        </w:tc>
        <w:tc>
          <w:tcPr/>
          <w:p>
            <w:pPr>
              <w:pStyle w:val="Compac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förd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Ansvarig handläggare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Avser barn/ärende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[Barnets namn / hubsCaseId / Treserva-dnr]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 för anteckningarna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[ÅÅÅÅ-MM-DD – ÅÅÅÅ-MM-DD, om samlad utskrift]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Dokumenterat i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[Personakt / Treserva dnr]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Hubs mallbibliotek · Socialsekreterare barn &amp; familj · Mall v1.0 (utkast).</w:t>
      </w:r>
      <w:r>
        <w:t xml:space="preserve"> </w:t>
      </w:r>
      <w:r>
        <w:rPr>
          <w:i/>
          <w:iCs/>
        </w:rPr>
        <w:t xml:space="preserve">Lagrumshänvisningar ska verifieras mot tillämplig socialtjänstlag (SoL 2025:400) och</w:t>
      </w:r>
      <w:r>
        <w:rPr>
          <w:i/>
          <w:iCs/>
        </w:rPr>
        <w:t xml:space="preserve"> </w:t>
      </w:r>
      <w:r>
        <w:rPr>
          <w:i/>
          <w:iCs/>
        </w:rPr>
        <w:t xml:space="preserve">kommunens egna rutiner innan produktiv användning. Granskas av verksamhetsjurist.</w:t>
      </w:r>
    </w:p>
    <w:bookmarkEnd w:id="14"/>
    <w:bookmarkEnd w:id="15"/>
    <w:sectPr>
      <w:headerReference w:type="default" r:id="rId901"/>
      <w:footerReference w:type="default" r:id="rId902"/>
      <w:footnotePr>
        <w:numRestart w:val="eachSect"/>
      </w:footnotePr>
    </w:sectPr>
  </w:body>
</w:document>
<!--HUBS_BLANKETT_V2--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120" w:after="0"/>
    </w:pPr>
    <w:r>
      <w:rPr>
        <w:color w:val="595959"/>
        <w:sz w:val="18"/>
        <w:szCs w:val="18"/>
      </w:rPr>
      <w:t xml:space="preserve">06 Journalanteckning (löpande dokumentation) · Ärende: </w:t>
    </w:r>
    <w:r>
      <w:rPr>
        <w:color w:val="595959"/>
        <w:sz w:val="18"/>
        <w:szCs w:val="18"/>
        <w:vanish/>
      </w:rPr>
      <w:t xml:space="preserve">[hubsCaseId / Treserva-dnr]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9350"/>
      </w:tabs>
      <w:spacing w:before="0" w:after="40"/>
    </w:pPr>
    <w:r>
      <w:rPr>
        <w:i/>
        <w:iCs/>
        <w:color w:val="595959"/>
        <w:sz w:val="18"/>
        <w:szCs w:val="18"/>
      </w:rPr>
      <w:t xml:space="preserve">[Kommunens namn]</w:t>
    </w:r>
    <w:r>
      <w:rPr>
        <w:color w:val="595959"/>
        <w:sz w:val="18"/>
        <w:szCs w:val="18"/>
      </w:rPr>
      <w:tab/>
      <w:t xml:space="preserve">Version 1.0 (utkast) · 2026-07-07</w:t>
    </w:r>
  </w:p>
  <w:p>
    <w:pPr>
      <w:jc w:val="right"/>
      <w:spacing w:before="0" w:after="120"/>
    </w:pPr>
    <w:r>
      <w:rPr>
        <w:color w:val="595959"/>
        <w:sz w:val="18"/>
        <w:szCs w:val="18"/>
      </w:rPr>
      <w:t xml:space="preserve">Sida </w:t>
    </w:r>
    <w:fldSimple w:instr=" PAGE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 xml:space="preserve"> (</w:t>
    </w:r>
    <w:fldSimple w:instr=" NUMPAGES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>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05-bbic-utredning.md" TargetMode="External" /><Relationship Type="http://schemas.openxmlformats.org/officeDocument/2006/relationships/hyperlink" Id="rId12" Target="07-samtalsanteckning.md" TargetMode="External" /><Relationship Id="rId901" Type="http://schemas.openxmlformats.org/officeDocument/2006/relationships/header" Target="header1.xml"/><Relationship Id="rId902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05-bbic-utredning.md" TargetMode="External" /><Relationship Type="http://schemas.openxmlformats.org/officeDocument/2006/relationships/hyperlink" Id="rId12" Target="07-samtalsanteck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2026-07-07T07:57:50Z</dcterms:created>
  <dcterms:modified xsi:type="dcterms:W3CDTF">2026-07-07T07:57:50Z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