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f1cfbd52479053ff7d3027f0909d10374f88b68"/>
    <w:p>
      <w:pPr>
        <w:pStyle w:val="Heading1"/>
      </w:pPr>
      <w:r>
        <w:t xml:space="preserve">Samtycke till informationsinhämtning och samverkan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rPr>
          <w:b/>
          <w:bCs/>
        </w:rPr>
        <w:t xml:space="preserve">Om mallen</w:t>
      </w:r>
      <w:r>
        <w:t xml:space="preserve"> </w:t>
      </w:r>
      <w:r>
        <w:t xml:space="preserve">— Används för att inhämta den enskildes (eller vårdnadshavarens)</w:t>
      </w:r>
      <w:r>
        <w:t xml:space="preserve"> </w:t>
      </w:r>
      <w:r>
        <w:t xml:space="preserve">samtycke till att uppgifter får utbytas med andra aktörer, t.ex. skola, hälso- och</w:t>
      </w:r>
      <w:r>
        <w:t xml:space="preserve"> </w:t>
      </w:r>
      <w:r>
        <w:t xml:space="preserve">sjukvård eller region. Fylls i tillsammans med den som lämnar samtycket och signeras</w:t>
      </w:r>
      <w:r>
        <w:t xml:space="preserve"> </w:t>
      </w:r>
      <w:r>
        <w:t xml:space="preserve">av denne. Resultatet gör att sekretessen kan brytas för de uppgifter och aktörer som</w:t>
      </w:r>
      <w:r>
        <w:t xml:space="preserve"> </w:t>
      </w:r>
      <w:r>
        <w:t xml:space="preserve">samtycket omfattar — inget mer.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t xml:space="preserve">⚖️</w:t>
      </w:r>
      <w:r>
        <w:t xml:space="preserve"> </w:t>
      </w:r>
      <w:r>
        <w:rPr>
          <w:b/>
          <w:bCs/>
        </w:rPr>
        <w:t xml:space="preserve">Lagrum:</w:t>
      </w:r>
      <w:r>
        <w:t xml:space="preserve"> </w:t>
      </w:r>
      <w:r>
        <w:t xml:space="preserve">Sekretessbrytande samtycke / menprövning enligt offentlighets- och sekretesslagen (OSL 2009:400)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kap./§]</w:t>
      </w:r>
      <w:r>
        <w:t xml:space="preserve"> </w:t>
      </w:r>
      <w:r>
        <w:t xml:space="preserve">· 📄</w:t>
      </w:r>
      <w:r>
        <w:t xml:space="preserve"> </w:t>
      </w:r>
      <w:r>
        <w:rPr>
          <w:b/>
          <w:bCs/>
        </w:rPr>
        <w:t xml:space="preserve">Handlingsstatus:</w:t>
      </w:r>
      <w:r>
        <w:t xml:space="preserve"> </w:t>
      </w:r>
      <w:r>
        <w:t xml:space="preserve">Allmän handling, förvaras i barnets/den enskildes personakt</w:t>
      </w:r>
    </w:p>
    <w:p>
      <w:pPr>
        <w:pStyle w:val="BlockText"/>
      </w:pPr>
      <w:r>
        <w:rPr>
          <w:b/>
          <w:bCs/>
          <w:color w:val="1F6FC5"/>
          <w:sz w:val="16"/>
          <w:szCs w:val="16"/>
        </w:rPr>
        <w:t xml:space="preserve">Så här fyller du i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Ersätt text 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[hakparentes]</w:t>
      </w:r>
      <w:r>
        <w:rPr>
          <w:color w:val="1F6FC5"/>
          <w:sz w:val="16"/>
          <w:szCs w:val="16"/>
        </w:rPr>
        <w:t xml:space="preserve">. Rader i</w:t>
      </w:r>
      <w:r>
        <w:rPr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kursiv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är handledning — radera dem i den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färdiga handlingen. Kryssrutor: sätt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x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 ]</w:t>
      </w:r>
      <w:r>
        <w:rPr>
          <w:color w:val="1F6FC5"/>
          <w:sz w:val="16"/>
          <w:szCs w:val="16"/>
        </w:rPr>
        <w:t xml:space="preserve">. Ett samtycke ska vara</w:t>
      </w:r>
      <w:r>
        <w:rPr>
          <w:color w:val="1F6FC5"/>
          <w:sz w:val="16"/>
          <w:szCs w:val="16"/>
        </w:rPr>
        <w:t xml:space="preserve"> </w:t>
      </w:r>
      <w:r>
        <w:rPr>
          <w:b/>
          <w:bCs/>
          <w:color w:val="1F6FC5"/>
          <w:sz w:val="16"/>
          <w:szCs w:val="16"/>
        </w:rPr>
        <w:t xml:space="preserve">avgränsat</w:t>
      </w:r>
      <w:r>
        <w:rPr>
          <w:color w:val="1F6FC5"/>
          <w:sz w:val="16"/>
          <w:szCs w:val="16"/>
        </w:rPr>
        <w:t xml:space="preserve">: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ange exakt vilka uppgifter, vilka aktörer och vilket syfte det gäller. Även med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samtycke delas bara nödvändiga uppgifter — du gör alltid en menprövning innan uppgifter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lämnas ut. Verifiera lagrum mot din kommuns rutin och tillämplig lagversion (se README).</w:t>
      </w:r>
    </w:p>
    <w:p>
      <w:r>
        <w:pict>
          <v:rect style="width:0;height:1.5pt" o:hralign="center" o:hrstd="t" o:hr="t"/>
        </w:pict>
      </w:r>
    </w:p>
    <w:bookmarkStart w:id="9" w:name="vem-lämnar-samtycke"/>
    <w:p>
      <w:pPr>
        <w:pStyle w:val="Heading2"/>
      </w:pPr>
      <w:r>
        <w:t xml:space="preserve">1. Vem lämnar samtycke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Vid gemensam vårdnad krävs som huvudregel samtycke från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b/>
          <w:bCs/>
          <w:i/>
          <w:iCs/>
          <w:color w:val="1F6FC5"/>
          <w:sz w:val="16"/>
          <w:szCs w:val="16"/>
        </w:rPr>
        <w:t xml:space="preserve">båda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vårdnadshavarna — dokumentera båda. En ungdom kan lämna samtycke själv utifrån ålder och mognad; ange då rollen och gör en kort bedömning av mognaden. Ange tydligt i vilken roll varje person samtycker.</w:t>
      </w:r>
    </w:p>
    <w:p>
      <w:pPr>
        <w:pStyle w:val="BodyText"/>
      </w:pPr>
      <w:r>
        <w:rPr>
          <w:b/>
          <w:bCs/>
        </w:rPr>
        <w:t xml:space="preserve">Ärende/dnr:</w:t>
      </w:r>
      <w:r>
        <w:t xml:space="preserve"> </w:t>
      </w:r>
      <w:r>
        <w:rPr>
          <w:vanish/>
        </w:rPr>
        <w:t xml:space="preserve">[hubsCaseId / Treserva-dnr om det finns]</w:t>
      </w:r>
      <w:r>
        <w:t xml:space="preserve"> </w:t>
      </w:r>
      <w:r>
        <w:rPr>
          <w:b/>
          <w:bCs/>
        </w:rPr>
        <w:t xml:space="preserve">Barnet ärendet rör:</w:t>
      </w:r>
      <w:r>
        <w:t xml:space="preserve"> </w:t>
      </w:r>
      <w:r>
        <w:rPr>
          <w:vanish/>
        </w:rPr>
        <w:t xml:space="preserve">[För- och efternamn]</w:t>
      </w:r>
      <w:r>
        <w:t xml:space="preserve"> ·</w:t>
      </w:r>
      <w:r>
        <w:t xml:space="preserve"> </w:t>
      </w:r>
      <w:r>
        <w:rPr>
          <w:b/>
          <w:bCs/>
        </w:rPr>
        <w:t xml:space="preserve">Personnummer:</w:t>
      </w:r>
      <w:r>
        <w:t xml:space="preserve"> </w:t>
      </w:r>
      <w:r>
        <w:rPr>
          <w:vanish/>
        </w:rPr>
        <w:t xml:space="preserve">[ÅÅÅÅMMDD-XXXX]</w:t>
      </w:r>
    </w:p>
    <w:p>
      <w:pPr>
        <w:pStyle w:val="BodyText"/>
      </w:pPr>
      <w:r>
        <w:t xml:space="preserve">Samtycke lämnas av (sätt kryss för roll):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Vårdnadshavare 1:</w:t>
      </w:r>
      <w:r>
        <w:t xml:space="preserve"> </w:t>
      </w:r>
      <w:r>
        <w:rPr>
          <w:vanish/>
        </w:rPr>
        <w:t xml:space="preserve">[För- och efternamn]</w:t>
      </w:r>
      <w:r>
        <w:t xml:space="preserve"> · </w:t>
      </w:r>
      <w:r>
        <w:rPr>
          <w:vanish/>
        </w:rPr>
        <w:t xml:space="preserve">[Personnummer]</w:t>
      </w:r>
      <w:r>
        <w:t xml:space="preserve"> · </w:t>
      </w:r>
      <w:r>
        <w:rPr>
          <w:vanish/>
        </w:rPr>
        <w:t xml:space="preserve">[Telefon/e-post]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Vårdnadshavare 2:</w:t>
      </w:r>
      <w:r>
        <w:t xml:space="preserve"> </w:t>
      </w:r>
      <w:r>
        <w:rPr>
          <w:vanish/>
        </w:rPr>
        <w:t xml:space="preserve">[För- och efternamn]</w:t>
      </w:r>
      <w:r>
        <w:t xml:space="preserve"> · </w:t>
      </w:r>
      <w:r>
        <w:rPr>
          <w:vanish/>
        </w:rPr>
        <w:t xml:space="preserve">[Personnummer]</w:t>
      </w:r>
      <w:r>
        <w:t xml:space="preserve"> · </w:t>
      </w:r>
      <w:r>
        <w:rPr>
          <w:vanish/>
        </w:rPr>
        <w:t xml:space="preserve">[Telefon/e-post]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Ungdomen själv</w:t>
      </w:r>
      <w:r>
        <w:t xml:space="preserve"> </w:t>
      </w:r>
      <w:r>
        <w:t xml:space="preserve">(utifrån ålder och mognad): </w:t>
      </w:r>
      <w:r>
        <w:rPr>
          <w:vanish/>
        </w:rPr>
        <w:t xml:space="preserve">[För- och efternamn]</w:t>
      </w:r>
      <w:r>
        <w:t xml:space="preserve"> · </w:t>
      </w:r>
      <w:r>
        <w:rPr>
          <w:vanish/>
        </w:rPr>
        <w:t xml:space="preserve">[Personnummer]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Annan legal ställföreträdare / god man: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[Namn och roll]</w:t>
            </w:r>
          </w:p>
        </w:tc>
      </w:tr>
    </w:tbl>
    <w:p>
      <w:pPr>
        <w:spacing w:before="0" w:after="60"/>
      </w:pP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Vid gemensam vårdnad: saknas samtycke från en av vårdnadshavarna — notera det och bedöm om uppgiftsutbytet ändå kan ske på annan grund. Fråga verksamhetsjurist vid tveksamhet.</w:t>
      </w:r>
      <w:r>
        <w:t xml:space="preserve"> </w:t>
      </w:r>
      <w:r>
        <w:rPr>
          <w:i/>
          <w:iCs/>
          <w:color w:val="1F6FC5"/>
          <w:sz w:val="16"/>
          <w:szCs w:val="16"/>
        </w:rPr>
        <w:t xml:space="preserve">Barnets egen inställning ska efterfrågas och beaktas utifrån ålder och mognad (Barnkonventionen, lag 2018:1197)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rStyle w:val="VerbatimChar"/>
          <w:i/>
          <w:iCs/>
          <w:color w:val="1F6FC5"/>
          <w:sz w:val="16"/>
          <w:szCs w:val="16"/>
        </w:rPr>
        <w:t xml:space="preserve">[verifiera art.]</w:t>
      </w:r>
      <w:r>
        <w:rPr>
          <w:i/>
          <w:iCs/>
          <w:color w:val="1F6FC5"/>
          <w:sz w:val="16"/>
          <w:szCs w:val="16"/>
        </w:rPr>
        <w:t xml:space="preserve">.</w:t>
      </w:r>
    </w:p>
    <w:bookmarkEnd w:id="9"/>
    <w:bookmarkStart w:id="10" w:name="vad-samtycket-avser"/>
    <w:p>
      <w:pPr>
        <w:pStyle w:val="Heading2"/>
      </w:pPr>
      <w:r>
        <w:t xml:space="preserve">2. Vad samtycket avser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Avgränsa uppgifterna. Namnge varje aktör konkret (vilken skola, vilken mottagning) och ange riktningen — får vi hämta in, lämna ut, eller båda. Undvik generella "alla uppgifter till alla".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Uppgifter som samtycket omfattar: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[Beskriv vilka uppgifter det gäller — t.ex. skolnärvaro och pedagogisk situation, vårdkontakter, utredningsresultat. Avgränsa till det som behövs.]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t xml:space="preserve">Samtycket gäller informationsutbyte med följande aktörer</w:t>
      </w:r>
      <w:r>
        <w:t xml:space="preserve"> </w:t>
      </w:r>
      <w:r>
        <w:rPr>
          <w:i/>
          <w:iCs/>
          <w:color w:val="1F6FC5"/>
          <w:sz w:val="16"/>
          <w:szCs w:val="16"/>
        </w:rPr>
        <w:t xml:space="preserve">(kopiera raden vid behov)</w:t>
      </w:r>
      <w:r>
        <w:t xml:space="preserve">:</w:t>
      </w:r>
    </w:p>
    <w:tbl>
      <w:tblPr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Aktör (namnge konkret)</w:t>
            </w:r>
          </w:p>
        </w:tc>
        <w:tc>
          <w:tcPr/>
          <w:p>
            <w:pPr>
              <w:pStyle w:val="Compact"/>
            </w:pPr>
            <w:r>
              <w:t xml:space="preserve">Får vi hämta in?</w:t>
            </w:r>
          </w:p>
        </w:tc>
        <w:tc>
          <w:tcPr/>
          <w:p>
            <w:pPr>
              <w:pStyle w:val="Compact"/>
            </w:pPr>
            <w:r>
              <w:t xml:space="preserve">Får vi lämna ut?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Skola/förskola:</w:t>
            </w:r>
            <w:r>
              <w:t xml:space="preserve"> </w:t>
            </w:r>
            <w:r>
              <w:rPr>
                <w:vanish/>
              </w:rPr>
              <w:t xml:space="preserve">[Namn på enhet]</w:t>
            </w:r>
          </w:p>
        </w:tc>
        <w:tc>
          <w:tcPr/>
          <w:p>
            <w:pPr>
              <w:pStyle w:val="Compact"/>
            </w:pPr>
            <w:r>
              <w:t xml:space="preserve">[ ] Ja</w:t>
            </w:r>
          </w:p>
        </w:tc>
        <w:tc>
          <w:tcPr/>
          <w:p>
            <w:pPr>
              <w:pStyle w:val="Compact"/>
            </w:pPr>
            <w:r>
              <w:t xml:space="preserve">[ ] 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Hälso- och sjukvård / BUP:</w:t>
            </w:r>
            <w:r>
              <w:t xml:space="preserve"> </w:t>
            </w:r>
            <w:r>
              <w:rPr>
                <w:vanish/>
              </w:rPr>
              <w:t xml:space="preserve">[Namn på mottagning]</w:t>
            </w:r>
          </w:p>
        </w:tc>
        <w:tc>
          <w:tcPr/>
          <w:p>
            <w:pPr>
              <w:pStyle w:val="Compact"/>
            </w:pPr>
            <w:r>
              <w:t xml:space="preserve">[ ] Ja</w:t>
            </w:r>
          </w:p>
        </w:tc>
        <w:tc>
          <w:tcPr/>
          <w:p>
            <w:pPr>
              <w:pStyle w:val="Compact"/>
            </w:pPr>
            <w:r>
              <w:t xml:space="preserve">[ ] 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 / annan vårdgivare:</w:t>
            </w:r>
            <w:r>
              <w:t xml:space="preserve"> </w:t>
            </w:r>
            <w:r>
              <w:rPr>
                <w:vanish/>
              </w:rPr>
              <w:t xml:space="preserve">[Namn]</w:t>
            </w:r>
          </w:p>
        </w:tc>
        <w:tc>
          <w:tcPr/>
          <w:p>
            <w:pPr>
              <w:pStyle w:val="Compact"/>
            </w:pPr>
            <w:r>
              <w:t xml:space="preserve">[ ] Ja</w:t>
            </w:r>
          </w:p>
        </w:tc>
        <w:tc>
          <w:tcPr/>
          <w:p>
            <w:pPr>
              <w:pStyle w:val="Compact"/>
            </w:pPr>
            <w:r>
              <w:t xml:space="preserve">[ ] 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Annan aktör:</w:t>
            </w:r>
            <w:r>
              <w:t xml:space="preserve"> </w:t>
            </w:r>
            <w:r>
              <w:rPr>
                <w:vanish/>
              </w:rPr>
              <w:t xml:space="preserve">[Namn och verksamhet]</w:t>
            </w:r>
          </w:p>
        </w:tc>
        <w:tc>
          <w:tcPr/>
          <w:p>
            <w:pPr>
              <w:pStyle w:val="Compact"/>
            </w:pPr>
            <w:r>
              <w:t xml:space="preserve">[ ] Ja</w:t>
            </w:r>
          </w:p>
        </w:tc>
        <w:tc>
          <w:tcPr/>
          <w:p>
            <w:pPr>
              <w:pStyle w:val="Compact"/>
            </w:pPr>
            <w:r>
              <w:t xml:space="preserve">[ ] Ja</w:t>
            </w:r>
          </w:p>
        </w:tc>
      </w:tr>
    </w:tbl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Kryssa bara i det som den enskilde faktiskt samtycker till. Ett samtycke som saknar avgränsning håller inte — det ska gå att läsa av exakt vad som får delas och med vem.</w:t>
      </w:r>
    </w:p>
    <w:bookmarkEnd w:id="10"/>
    <w:bookmarkStart w:id="14" w:name="syfte-med-informationsutbytet"/>
    <w:p>
      <w:pPr>
        <w:pStyle w:val="Heading2"/>
      </w:pPr>
      <w:r>
        <w:t xml:space="preserve">3. Syfte med informationsutbytet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Förklara varför uppgifterna behövs — koppla till handläggningen. Uppgifter får hämtas in och lämnas ut endast för det syfte som anges här (dataminimering).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Syftet med att uppgifter utbyts: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[Beskriv varför uppgifterna behövs — t.ex. för att kunna göra en barnavårdsutredning, planera insatser eller samordna stöd i en SIP.]</w:t>
            </w:r>
          </w:p>
        </w:tc>
      </w:tr>
    </w:tbl>
    <w:p>
      <w:pPr>
        <w:spacing w:before="0" w:after="60"/>
      </w:pPr>
    </w:p>
    <w:p>
      <w:pPr>
        <w:pStyle w:val="Compact"/>
        <w:numPr>
          <w:ilvl w:val="0"/>
          <w:numId w:val="1005"/>
        </w:numPr>
      </w:pPr>
      <w:r>
        <w:t xml:space="preserve">Underlag till utredning enligt socialtjänstlagen — se</w:t>
      </w:r>
      <w:r>
        <w:t xml:space="preserve"> </w:t>
      </w:r>
      <w:hyperlink r:id="rId11">
        <w:r>
          <w:rPr>
            <w:rStyle w:val="Hyperlink"/>
          </w:rPr>
          <w:t xml:space="preserve">Utredningsplan (BBIC)</w:t>
        </w:r>
      </w:hyperlink>
    </w:p>
    <w:p>
      <w:pPr>
        <w:pStyle w:val="Compact"/>
        <w:numPr>
          <w:ilvl w:val="0"/>
          <w:numId w:val="1006"/>
        </w:numPr>
      </w:pPr>
      <w:r>
        <w:t xml:space="preserve">Inhämtning av specifika uppgifter från aktör — se</w:t>
      </w:r>
      <w:r>
        <w:t xml:space="preserve"> </w:t>
      </w:r>
      <w:hyperlink r:id="rId12">
        <w:r>
          <w:rPr>
            <w:rStyle w:val="Hyperlink"/>
          </w:rPr>
          <w:t xml:space="preserve">Begäran om uppgifter</w:t>
        </w:r>
      </w:hyperlink>
    </w:p>
    <w:p>
      <w:pPr>
        <w:pStyle w:val="Compact"/>
        <w:numPr>
          <w:ilvl w:val="0"/>
          <w:numId w:val="1007"/>
        </w:numPr>
      </w:pPr>
      <w:r>
        <w:t xml:space="preserve">Samordnad individuell planering — se</w:t>
      </w:r>
      <w:r>
        <w:t xml:space="preserve"> </w:t>
      </w:r>
      <w:hyperlink r:id="rId13">
        <w:r>
          <w:rPr>
            <w:rStyle w:val="Hyperlink"/>
          </w:rPr>
          <w:t xml:space="preserve">SIP</w:t>
        </w:r>
      </w:hyperlink>
    </w:p>
    <w:p>
      <w:pPr>
        <w:pStyle w:val="Compact"/>
        <w:numPr>
          <w:ilvl w:val="0"/>
          <w:numId w:val="1008"/>
        </w:numPr>
      </w:pPr>
      <w:r>
        <w:t xml:space="preserve">Annat syfte: </w:t>
      </w:r>
      <w:r>
        <w:rPr>
          <w:vanish/>
        </w:rPr>
        <w:t xml:space="preserve">[beskriv]</w:t>
      </w:r>
    </w:p>
    <w:bookmarkEnd w:id="14"/>
    <w:bookmarkStart w:id="15" w:name="giltighetstid-och-återkallelse"/>
    <w:p>
      <w:pPr>
        <w:pStyle w:val="Heading2"/>
      </w:pPr>
      <w:r>
        <w:t xml:space="preserve">4. Giltighetstid och återkallelse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Samtycket är frivilligt och kan återkallas när som helst, muntligt eller skriftligt, utan att skälen behöver anges. Sätt en giltighetstid så att samtycket inte lever kvar längre än det behövs.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Samtycket gäller från: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[ÅÅÅÅ-MM-DD]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b/>
          <w:bCs/>
        </w:rPr>
        <w:t xml:space="preserve">Samtycket gäller till och med</w:t>
      </w:r>
      <w:r>
        <w:t xml:space="preserve"> </w:t>
      </w:r>
      <w:r>
        <w:t xml:space="preserve">(välj ett):</w:t>
      </w:r>
    </w:p>
    <w:p>
      <w:pPr>
        <w:numPr>
          <w:ilvl w:val="0"/>
          <w:numId w:val="1009"/>
        </w:numPr>
      </w:pPr>
      <w:r>
        <w:t xml:space="preserve">Till och med: </w:t>
      </w:r>
      <w:r>
        <w:rPr>
          <w:vanish/>
        </w:rPr>
        <w:t xml:space="preserve">[ÅÅÅÅ-MM-DD]</w:t>
      </w:r>
    </w:p>
    <w:p>
      <w:pPr>
        <w:numPr>
          <w:ilvl w:val="0"/>
          <w:numId w:val="1010"/>
        </w:numPr>
      </w:pPr>
      <w:r>
        <w:t xml:space="preserve">Tills vidare, dock längst så länge ärendet är aktuellt</w:t>
      </w:r>
    </w:p>
    <w:p>
      <w:pPr>
        <w:numPr>
          <w:ilvl w:val="0"/>
          <w:numId w:val="1011"/>
        </w:numPr>
      </w:pPr>
      <w:r>
        <w:t xml:space="preserve">Den som samtycker har informerats om att</w:t>
      </w:r>
      <w:r>
        <w:t xml:space="preserve"> </w:t>
      </w:r>
      <w:r>
        <w:rPr>
          <w:b/>
          <w:bCs/>
        </w:rPr>
        <w:t xml:space="preserve">samtycket är frivilligt</w:t>
      </w:r>
      <w:r>
        <w:t xml:space="preserve"> </w:t>
      </w:r>
      <w:r>
        <w:t xml:space="preserve">och kan</w:t>
      </w:r>
      <w:r>
        <w:t xml:space="preserve"> </w:t>
      </w:r>
      <w:r>
        <w:rPr>
          <w:b/>
          <w:bCs/>
        </w:rPr>
        <w:t xml:space="preserve">återkallas när som helst</w:t>
      </w:r>
      <w:r>
        <w:t xml:space="preserve"> </w:t>
      </w:r>
      <w:r>
        <w:t xml:space="preserve">utan att skälen anges.</w:t>
      </w:r>
    </w:p>
    <w:p>
      <w:pPr>
        <w:numPr>
          <w:ilvl w:val="0"/>
          <w:numId w:val="1012"/>
        </w:numPr>
      </w:pPr>
      <w:r>
        <w:t xml:space="preserve">En återkallelse gäller framåt i tiden och hindrar inte utbyte som redan skett.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Noteras vid ev. återkallelse: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[Datum, av vem, hur (muntligt/skriftligt)]</w:t>
            </w:r>
          </w:p>
        </w:tc>
      </w:tr>
    </w:tbl>
    <w:p>
      <w:pPr>
        <w:spacing w:before="0" w:after="60"/>
      </w:pPr>
    </w:p>
    <w:bookmarkEnd w:id="15"/>
    <w:bookmarkStart w:id="16" w:name="information-till-den-som-samtycker"/>
    <w:p>
      <w:pPr>
        <w:pStyle w:val="Heading2"/>
      </w:pPr>
      <w:r>
        <w:t xml:space="preserve">5. Information till den som samtycker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Gå igenom informationen muntligt och bekräfta att den förståtts. Var tydlig med vad ett nekat eller återkallat samtycke kan innebära — utan att det framställs som ett påtryckningsmedel.</w:t>
      </w:r>
    </w:p>
    <w:p>
      <w:pPr>
        <w:pStyle w:val="BodyText"/>
      </w:pPr>
      <w:r>
        <w:t xml:space="preserve">Den som lämnar samtycke har informerats om:</w:t>
      </w:r>
    </w:p>
    <w:p>
      <w:pPr>
        <w:pStyle w:val="Compact"/>
        <w:numPr>
          <w:ilvl w:val="0"/>
          <w:numId w:val="1013"/>
        </w:numPr>
      </w:pPr>
      <w:r>
        <w:t xml:space="preserve">att lämnandet av uppgifter är</w:t>
      </w:r>
      <w:r>
        <w:t xml:space="preserve"> </w:t>
      </w:r>
      <w:r>
        <w:rPr>
          <w:b/>
          <w:bCs/>
        </w:rPr>
        <w:t xml:space="preserve">frivilligt</w:t>
      </w:r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vilka uppgifter som kan komma att utbytas och med vilka aktörer (avsnitt 2),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syftet</w:t>
      </w:r>
      <w:r>
        <w:t xml:space="preserve"> </w:t>
      </w:r>
      <w:r>
        <w:t xml:space="preserve">med informationsutbytet (avsnitt 3),</w:t>
      </w:r>
    </w:p>
    <w:p>
      <w:pPr>
        <w:pStyle w:val="Compact"/>
        <w:numPr>
          <w:ilvl w:val="0"/>
          <w:numId w:val="1016"/>
        </w:numPr>
      </w:pPr>
      <w:r>
        <w:t xml:space="preserve">att samtycket kan</w:t>
      </w:r>
      <w:r>
        <w:t xml:space="preserve"> </w:t>
      </w:r>
      <w:r>
        <w:rPr>
          <w:b/>
          <w:bCs/>
        </w:rPr>
        <w:t xml:space="preserve">återkallas</w:t>
      </w:r>
      <w:r>
        <w:t xml:space="preserve"> </w:t>
      </w:r>
      <w:r>
        <w:t xml:space="preserve">när som helst (avsnitt 4),</w:t>
      </w:r>
    </w:p>
    <w:p>
      <w:pPr>
        <w:pStyle w:val="Compact"/>
        <w:numPr>
          <w:ilvl w:val="0"/>
          <w:numId w:val="1017"/>
        </w:numPr>
      </w:pPr>
      <w:r>
        <w:t xml:space="preserve">vad ett</w:t>
      </w:r>
      <w:r>
        <w:t xml:space="preserve"> </w:t>
      </w:r>
      <w:r>
        <w:rPr>
          <w:b/>
          <w:bCs/>
        </w:rPr>
        <w:t xml:space="preserve">nekat eller återkallat samtycke</w:t>
      </w:r>
      <w:r>
        <w:t xml:space="preserve"> </w:t>
      </w:r>
      <w:r>
        <w:t xml:space="preserve">kan innebära för handläggningen:</w:t>
      </w:r>
      <w:r>
        <w:t xml:space="preserve"> </w:t>
      </w:r>
      <w:r>
        <w:t xml:space="preserve">[Beskriv konkret — t.ex. att vissa uppgifter då inte kan hämtas in och att</w:t>
      </w:r>
      <w:r>
        <w:t xml:space="preserve"> </w:t>
      </w:r>
      <w:r>
        <w:t xml:space="preserve">bedömningen får göras på det underlag som finns].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Ett nekat samtycke fråntar inte socialtjänsten ansvaret att utreda barnets behov. I vissa fall kan uppgifter behöva inhämtas på annan rättslig grund utan samtycke — bedöm det separat och dokumentera grunden. Barnets bästa är avgörande (Barnkonventionen, lag 2018:1197)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rStyle w:val="VerbatimChar"/>
          <w:i/>
          <w:iCs/>
          <w:color w:val="1F6FC5"/>
          <w:sz w:val="16"/>
          <w:szCs w:val="16"/>
        </w:rPr>
        <w:t xml:space="preserve">[verifiera art.]</w:t>
      </w:r>
      <w:r>
        <w:rPr>
          <w:i/>
          <w:iCs/>
          <w:color w:val="1F6FC5"/>
          <w:sz w:val="16"/>
          <w:szCs w:val="16"/>
        </w:rPr>
        <w:t xml:space="preserve">.</w:t>
      </w:r>
    </w:p>
    <w:bookmarkEnd w:id="16"/>
    <w:bookmarkStart w:id="17" w:name="underskrift"/>
    <w:p>
      <w:pPr>
        <w:pStyle w:val="Heading2"/>
      </w:pPr>
      <w:r>
        <w:t xml:space="preserve">6. Underskrift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Samtycket kan signeras med BankID via säkert formulär i Hubs, eller på papper som skannas in i akten. Kom ihåg: även med signerat samtycke delas bara nödvändiga uppgifter — menprövningen görs av handläggaren inför varje utlämnande.</w:t>
      </w:r>
    </w:p>
    <w:p>
      <w:pPr>
        <w:pStyle w:val="Compact"/>
        <w:numPr>
          <w:ilvl w:val="0"/>
          <w:numId w:val="1018"/>
        </w:numPr>
      </w:pPr>
      <w:r>
        <w:t xml:space="preserve">Signeras med</w:t>
      </w:r>
      <w:r>
        <w:t xml:space="preserve"> </w:t>
      </w:r>
      <w:r>
        <w:rPr>
          <w:b/>
          <w:bCs/>
        </w:rPr>
        <w:t xml:space="preserve">BankID</w:t>
      </w:r>
      <w:r>
        <w:t xml:space="preserve"> </w:t>
      </w:r>
      <w:r>
        <w:t xml:space="preserve">via säkert formulär i Hubs</w:t>
      </w:r>
    </w:p>
    <w:p>
      <w:pPr>
        <w:pStyle w:val="Compact"/>
        <w:numPr>
          <w:ilvl w:val="0"/>
          <w:numId w:val="1019"/>
        </w:numPr>
      </w:pPr>
      <w:r>
        <w:t xml:space="preserve">Signeras på papper och skannas in i personakten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(kopiera underskriftsblocket vid flera samtyckande, t.ex. båda vårdnadshavarna)</w:t>
      </w:r>
    </w:p>
    <w:p>
      <w:pPr>
        <w:pStyle w:val="BodyText"/>
      </w:pPr>
      <w:r>
        <w:rPr>
          <w:b/>
          <w:bCs/>
        </w:rPr>
        <w:t xml:space="preserve">Namn:</w:t>
      </w:r>
      <w:r>
        <w:t xml:space="preserve"> </w:t>
      </w:r>
      <w:r>
        <w:rPr>
          <w:vanish/>
        </w:rPr>
        <w:t xml:space="preserve">[För- och efternamn]</w:t>
      </w:r>
      <w:r>
        <w:t xml:space="preserve"> ·</w:t>
      </w:r>
      <w:r>
        <w:t xml:space="preserve"> </w:t>
      </w:r>
      <w:r>
        <w:rPr>
          <w:b/>
          <w:bCs/>
        </w:rPr>
        <w:t xml:space="preserve">Roll:</w:t>
      </w:r>
      <w:r>
        <w:t xml:space="preserve"> </w:t>
      </w:r>
      <w:r>
        <w:rPr>
          <w:vanish/>
        </w:rPr>
        <w:t xml:space="preserve">[Vårdnadshavare / ungdom / ställföreträdare]</w:t>
      </w:r>
      <w:r>
        <w:t xml:space="preserve"> </w:t>
      </w:r>
      <w:r>
        <w:rPr>
          <w:b/>
          <w:bCs/>
        </w:rPr>
        <w:t xml:space="preserve">Ort och datum:</w:t>
      </w:r>
      <w:r>
        <w:t xml:space="preserve"> </w:t>
      </w:r>
      <w:r>
        <w:rPr>
          <w:vanish/>
        </w:rPr>
        <w:t xml:space="preserve">[Ort, ÅÅÅÅ-MM-DD]</w:t>
      </w:r>
      <w:r>
        <w:t xml:space="preserve"> </w:t>
      </w:r>
      <w:r>
        <w:rPr>
          <w:b/>
          <w:bCs/>
        </w:rPr>
        <w:t xml:space="preserve">Underskrift / BankID-signatur:</w:t>
      </w:r>
      <w:r>
        <w:t xml:space="preserve"> </w:t>
      </w:r>
      <w:r>
        <w:t xml:space="preserve">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underskrift-dokumentinformation"/>
    <w:p>
      <w:pPr>
        <w:pStyle w:val="Heading2"/>
      </w:pPr>
      <w:r>
        <w:t xml:space="preserve">Underskrift &amp; dokumentinformation</w:t>
      </w:r>
    </w:p>
    <w:tbl>
      <w:tblPr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Fält</w:t>
            </w:r>
          </w:p>
        </w:tc>
        <w:tc>
          <w:tcPr/>
          <w:p>
            <w:pPr>
              <w:pStyle w:val="Compact"/>
            </w:pPr>
            <w:r>
              <w:t xml:space="preserve">Uppgift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Samtycke inhämtat av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[Namn, titel]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[ÅÅÅÅ-MM-DD]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Signeringssätt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[BankID i Hubs / papper skannat]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Menprövning inför utlämnande gjord av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[Namn — ansvarig handläggare]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Dokumenterat i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[Personakt / Treserva dnr]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Hubs mallbibliotek · Socialsekreterare barn &amp; familj · Mall v1.0 (utkast).</w:t>
      </w:r>
      <w:r>
        <w:t xml:space="preserve"> </w:t>
      </w:r>
      <w:r>
        <w:rPr>
          <w:i/>
          <w:iCs/>
        </w:rPr>
        <w:t xml:space="preserve">Lagrumshänvisningar ska verifieras mot tillämplig socialtjänstlag (SoL 2025:400) och</w:t>
      </w:r>
      <w:r>
        <w:rPr>
          <w:i/>
          <w:iCs/>
        </w:rPr>
        <w:t xml:space="preserve"> </w:t>
      </w:r>
      <w:r>
        <w:rPr>
          <w:i/>
          <w:iCs/>
        </w:rPr>
        <w:t xml:space="preserve">kommunens egna rutiner innan produktiv användning. Granskas av verksamhetsjurist.</w:t>
      </w:r>
    </w:p>
    <w:bookmarkEnd w:id="18"/>
    <w:bookmarkEnd w:id="19"/>
    <w:sectPr>
      <w:headerReference w:type="default" r:id="rId901"/>
      <w:footerReference w:type="default" r:id="rId902"/>
      <w:footnotePr>
        <w:numRestart w:val="eachSect"/>
      </w:footnotePr>
    </w:sectPr>
  </w:body>
</w:document>
<!--HUBS_BLANKETT_V2--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120" w:after="0"/>
    </w:pPr>
    <w:r>
      <w:rPr>
        <w:color w:val="595959"/>
        <w:sz w:val="18"/>
        <w:szCs w:val="18"/>
      </w:rPr>
      <w:t xml:space="preserve">09 Samtycke till informationsinhämtning och samverkan · Ärende: </w:t>
    </w:r>
    <w:r>
      <w:rPr>
        <w:color w:val="595959"/>
        <w:sz w:val="18"/>
        <w:szCs w:val="18"/>
        <w:vanish/>
      </w:rPr>
      <w:t xml:space="preserve">[hubsCaseId / Treserva-dnr]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tabs>
        <w:tab w:val="right" w:pos="9350"/>
      </w:tabs>
      <w:spacing w:before="0" w:after="40"/>
    </w:pPr>
    <w:r>
      <w:rPr>
        <w:i/>
        <w:iCs/>
        <w:color w:val="595959"/>
        <w:sz w:val="18"/>
        <w:szCs w:val="18"/>
      </w:rPr>
      <w:t xml:space="preserve">[Kommunens namn]</w:t>
    </w:r>
    <w:r>
      <w:rPr>
        <w:color w:val="595959"/>
        <w:sz w:val="18"/>
        <w:szCs w:val="18"/>
      </w:rPr>
      <w:tab/>
      <w:t xml:space="preserve">Version 1.0 (utkast) · 2026-07-07</w:t>
    </w:r>
  </w:p>
  <w:p>
    <w:pPr>
      <w:jc w:val="right"/>
      <w:spacing w:before="0" w:after="120"/>
    </w:pPr>
    <w:r>
      <w:rPr>
        <w:color w:val="595959"/>
        <w:sz w:val="18"/>
        <w:szCs w:val="18"/>
      </w:rPr>
      <w:t xml:space="preserve">Sida </w:t>
    </w:r>
    <w:fldSimple w:instr=" PAGE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 xml:space="preserve"> (</w:t>
    </w:r>
    <w:fldSimple w:instr=" NUMPAGES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>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04-utredningsplan-bbic.md" TargetMode="External" /><Relationship Type="http://schemas.openxmlformats.org/officeDocument/2006/relationships/hyperlink" Id="rId12" Target="11-begaran-uppgifter.md" TargetMode="External" /><Relationship Type="http://schemas.openxmlformats.org/officeDocument/2006/relationships/hyperlink" Id="rId13" Target="14-sip.md" TargetMode="External" /><Relationship Id="rId901" Type="http://schemas.openxmlformats.org/officeDocument/2006/relationships/header" Target="header1.xml"/><Relationship Id="rId902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04-utredningsplan-bbic.md" TargetMode="External" /><Relationship Type="http://schemas.openxmlformats.org/officeDocument/2006/relationships/hyperlink" Id="rId12" Target="11-begaran-uppgifter.md" TargetMode="External" /><Relationship Type="http://schemas.openxmlformats.org/officeDocument/2006/relationships/hyperlink" Id="rId13" Target="14-si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2026-07-07T07:57:52Z</dcterms:created>
  <dcterms:modified xsi:type="dcterms:W3CDTF">2026-07-07T07:57:52Z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