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eslut-om-bistånd-eller-insats"/>
    <w:p>
      <w:pPr>
        <w:pStyle w:val="Heading1"/>
      </w:pPr>
      <w:r>
        <w:t xml:space="preserve">Beslut om bistånd eller insats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 för att fatta och dokumentera ett myndighetsbeslut om bistånd</w:t>
      </w:r>
      <w:r>
        <w:t xml:space="preserve"> </w:t>
      </w:r>
      <w:r>
        <w:t xml:space="preserve">eller insats (bifall, delvis bifall eller avslag) med motivering och delegation. Fylls i</w:t>
      </w:r>
      <w:r>
        <w:t xml:space="preserve"> </w:t>
      </w:r>
      <w:r>
        <w:t xml:space="preserve">av ansvarig socialsekreterare eller beslutsfattare efter avslutad utredning. Resultatet</w:t>
      </w:r>
      <w:r>
        <w:t xml:space="preserve"> </w:t>
      </w:r>
      <w:r>
        <w:t xml:space="preserve">är ett överklagbart myndighetsbeslut som styr vilken hjälp barnet och familjen får.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Bistånd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 — tidigare 4 kap. 1 §]</w:t>
      </w:r>
      <w:r>
        <w:t xml:space="preserve">; förvaltningslagen (2017:900) 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 — committas till facksystem (Treserva) och signeras med e-underskrift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Beslutet ska vara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tydligt</w:t>
      </w:r>
      <w:r>
        <w:rPr>
          <w:color w:val="1F6FC5"/>
          <w:sz w:val="16"/>
          <w:szCs w:val="16"/>
        </w:rPr>
        <w:t xml:space="preserve">: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sökande ska förstå exakt vad hen får eller inte får, varför, och hur beslutet kan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överklagas. Vid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avslag eller delvis avslag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motiveringen (avsnitt 5) obligatorisk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 särskilt utförlig. Verifiera lagrum mot din kommuns rutin och tillämplig SoL-version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(se README).</w:t>
      </w:r>
    </w:p>
    <w:p>
      <w:r>
        <w:pict>
          <v:rect style="width:0;height:1.5pt" o:hralign="center" o:hrstd="t" o:hr="t"/>
        </w:pict>
      </w:r>
    </w:p>
    <w:bookmarkStart w:id="9" w:name="sökandebarn-och-ärende"/>
    <w:p>
      <w:pPr>
        <w:pStyle w:val="Heading2"/>
      </w:pPr>
      <w:r>
        <w:t xml:space="preserve">1. Sökande/barn och ärende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Vårdnadshavare/sökande:</w:t>
      </w:r>
      <w:r>
        <w:t xml:space="preserve"> </w:t>
      </w:r>
      <w:r>
        <w:rPr>
          <w:vanish/>
        </w:rPr>
        <w:t xml:space="preserve">[Namn — ange vem som ansökt: vårdnadshavare, barnet självt, eller om insatsen initierats av nämnden]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[Barn och familj]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Ett beslut per barn. Ange tydligt vem som är sökande respektive vem beslutet gäller — barnet är alltid den som insatsen avser, men ansökan kan komma från vårdnadshavare eller barnet. Dokumentera bara de personuppgifter som behövs för beslutet (dataminimering).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(kopiera avsnittet vid syskonärende — eget beslut per barn)</w:t>
      </w:r>
    </w:p>
    <w:bookmarkEnd w:id="9"/>
    <w:bookmarkStart w:id="10" w:name="vad-ansökanbeslutet-avser"/>
    <w:p>
      <w:pPr>
        <w:pStyle w:val="Heading2"/>
      </w:pPr>
      <w:r>
        <w:t xml:space="preserve">2. Vad ansökan/beslutet avser</w:t>
      </w:r>
    </w:p>
    <w:p>
      <w:pPr>
        <w:pStyle w:val="FirstParagraph"/>
      </w:pPr>
      <w:r>
        <w:rPr>
          <w:b/>
          <w:bCs/>
        </w:rPr>
        <w:t xml:space="preserve">Ansökan inkom: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Ansökan/behov avser:</w:t>
      </w:r>
      <w:r>
        <w:t xml:space="preserve"> </w:t>
      </w:r>
      <w:r>
        <w:rPr>
          <w:vanish/>
        </w:rPr>
        <w:t xml:space="preserve">[Beskriv den insats eller det bistånd som ansökts om eller som nämnden överväger — t.ex. öppenvård, kontaktperson/kontaktfamilj, stödsamtal, placering]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Beskriv i sak vad som efterfrågats. Om nämnden överväger en annan eller mer begränsad insats än den sökta ska det framgå här — då blir det ett delvis bifall eller avslag i avsnitt 6. Barnets egen inställning och önskemål ska framgå (barnets rätt att komma till tals, Barnkonventionen [1990:52 avser LVU — ej här; se nedan] art. 12).</w:t>
      </w:r>
    </w:p>
    <w:p>
      <w:pPr>
        <w:pStyle w:val="BodyText"/>
      </w:pPr>
      <w:r>
        <w:rPr>
          <w:b/>
          <w:bCs/>
        </w:rPr>
        <w:t xml:space="preserve">Barnets inställning:</w:t>
      </w:r>
      <w:r>
        <w:t xml:space="preserve"> </w:t>
      </w:r>
      <w:r>
        <w:rPr>
          <w:vanish/>
        </w:rPr>
        <w:t xml:space="preserve">[Vad barnet själv gett uttryck för, i förhållande till ålder och mognad — eller varför barnets inställning inte inhämtats]</w:t>
      </w:r>
      <w:r>
        <w:t xml:space="preserve"> </w:t>
      </w:r>
      <w:r>
        <w:rPr>
          <w:b/>
          <w:bCs/>
        </w:rPr>
        <w:t xml:space="preserve">Vårdnadshavares inställning:</w:t>
      </w:r>
      <w:r>
        <w:t xml:space="preserve"> </w:t>
      </w:r>
      <w:r>
        <w:rPr>
          <w:vanish/>
        </w:rPr>
        <w:t xml:space="preserve">[Samtycke / delat samtycke / inställning]</w:t>
      </w:r>
    </w:p>
    <w:bookmarkEnd w:id="10"/>
    <w:bookmarkStart w:id="11" w:name="tillämpliga-bestämmelser"/>
    <w:p>
      <w:pPr>
        <w:pStyle w:val="Heading2"/>
      </w:pPr>
      <w:r>
        <w:t xml:space="preserve">3. Tillämpliga bestämmelser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Ange de bestämmelser beslutet grundas på. Namnge institutionen — paragrafhänvisningen ska verifieras mot gällande SoL (2025:400).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Rätt till bistånd</w:t>
      </w:r>
      <w:r>
        <w:t xml:space="preserve"> </w:t>
      </w:r>
      <w:r>
        <w:t xml:space="preserve">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 — tidigare 4 kap. 1 § SoL 2001:453]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Beslutets utformning och motivering</w:t>
      </w:r>
      <w:r>
        <w:t xml:space="preserve"> </w:t>
      </w:r>
      <w:r>
        <w:t xml:space="preserve">enligt förvaltningslagen (2017:900)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Barnets bästa</w:t>
      </w:r>
      <w:r>
        <w:t xml:space="preserve"> </w:t>
      </w:r>
      <w:r>
        <w:t xml:space="preserve">ska särskilt beaktas (socialtjänstlagen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; Barnkonventionen (2018:1197) art. 3)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0" w:after="0"/>
            </w:pPr>
            <w:r>
              <w:rPr>
                <w:vanish/>
              </w:rPr>
              <w:t xml:space="preserve">[Ev. ytterligare tillämplig bestämmelse — t.ex. avgift, insats enligt annan lag]</w:t>
            </w:r>
          </w:p>
          <w:p>
            <w:pPr>
              <w:spacing w:before="0" w:after="0"/>
            </w:pPr>
          </w:p>
          <w:p>
            <w:pPr>
              <w:spacing w:before="0" w:after="120"/>
            </w:pPr>
          </w:p>
        </w:tc>
      </w:tr>
    </w:tbl>
    <w:p>
      <w:pPr>
        <w:spacing w:before="0" w:after="60"/>
      </w:pP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Om beslutet avser en insats som förutsätter vård utanför hemmet kan även LVU (1990:52) bli aktuell vid uteblivet samtycke — det är då ett annat spår och ett annat beslut.</w:t>
      </w:r>
    </w:p>
    <w:bookmarkEnd w:id="11"/>
    <w:bookmarkStart w:id="13" w:name="utredning-och-underlag"/>
    <w:p>
      <w:pPr>
        <w:pStyle w:val="Heading2"/>
      </w:pPr>
      <w:r>
        <w:t xml:space="preserve">4. Utredning och underlag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Beslutet grundas på: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[Hänvisa till utredningen och övrigt underlag — datum och dnr]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Beslutet ska vila på den genomförda utredningen. Länka till underlaget i stället för att upprepa det.</w:t>
      </w:r>
    </w:p>
    <w:p>
      <w:pPr>
        <w:pStyle w:val="BodyText"/>
      </w:pPr>
      <w:r>
        <w:t xml:space="preserve">→ Utredning som ligger till grund:</w:t>
      </w:r>
      <w:r>
        <w:t xml:space="preserve"> </w:t>
      </w:r>
      <w:hyperlink r:id="rId12">
        <w:r>
          <w:rPr>
            <w:rStyle w:val="Hyperlink"/>
          </w:rPr>
          <w:t xml:space="preserve">BBIC-utredning</w:t>
        </w:r>
      </w:hyperlink>
    </w:p>
    <w:p>
      <w:pPr>
        <w:pStyle w:val="Compact"/>
        <w:numPr>
          <w:ilvl w:val="0"/>
          <w:numId w:val="1002"/>
        </w:numPr>
      </w:pPr>
      <w:r>
        <w:t xml:space="preserve">BBIC-utredning avslutad och kommunicerad</w:t>
      </w:r>
    </w:p>
    <w:p>
      <w:pPr>
        <w:pStyle w:val="Compact"/>
        <w:numPr>
          <w:ilvl w:val="0"/>
          <w:numId w:val="1003"/>
        </w:numPr>
      </w:pPr>
      <w:r>
        <w:t xml:space="preserve">Konsultation/samråd genomfört: </w:t>
      </w:r>
      <w:r>
        <w:rPr>
          <w:vanish/>
        </w:rPr>
        <w:t xml:space="preserve">[med vem]</w:t>
      </w:r>
    </w:p>
    <w:p>
      <w:pPr>
        <w:pStyle w:val="Compact"/>
        <w:numPr>
          <w:ilvl w:val="0"/>
          <w:numId w:val="1004"/>
        </w:numPr>
      </w:pPr>
      <w:r>
        <w:t xml:space="preserve">Övrigt underlag: </w:t>
      </w:r>
      <w:r>
        <w:rPr>
          <w:vanish/>
        </w:rPr>
        <w:t xml:space="preserve">[t.ex. läkarintyg, skolyttrande — ange endast det som faktiskt vägts in]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Menprövning ska ha gjorts inför inhämtande av uppgifter från andra myndigheter (inre och yttre sekretess, OSL 2009:400). Ta bara med underlag som är relevant för biståndsfrågan.</w:t>
      </w:r>
    </w:p>
    <w:bookmarkEnd w:id="13"/>
    <w:bookmarkStart w:id="14" w:name="skäl-för-beslutet"/>
    <w:p>
      <w:pPr>
        <w:pStyle w:val="Heading2"/>
      </w:pPr>
      <w:r>
        <w:t xml:space="preserve">5. Skäl för beslutet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Motiveringen är beslutets kärna. Redogör för hur barnets behov bedömts, hur det vägts mot den sökta insatsen och varför nämnden landar i det beslut som fattas. Vid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avslag eller delvis avslag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ska motiveringen vara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särskilt utförlig</w:t>
      </w:r>
      <w:r>
        <w:rPr>
          <w:i/>
          <w:iCs/>
          <w:color w:val="1F6FC5"/>
          <w:sz w:val="16"/>
          <w:szCs w:val="16"/>
        </w:rPr>
        <w:t xml:space="preserve">: förklara vilket behov som inte anses föreligga eller kunna tillgodoses på annat sätt, och varför. Ett otillräckligt motiverat avslag kan upphävas vid överklagande.</w:t>
      </w:r>
    </w:p>
    <w:p>
      <w:pPr>
        <w:pStyle w:val="BodyText"/>
      </w:pPr>
      <w:r>
        <w:rPr>
          <w:b/>
          <w:bCs/>
        </w:rPr>
        <w:t xml:space="preserve">Bedömt behov:</w:t>
      </w:r>
      <w:r>
        <w:t xml:space="preserve"> </w:t>
      </w:r>
      <w:r>
        <w:rPr>
          <w:vanish/>
        </w:rPr>
        <w:t xml:space="preserve">[Beskriv det behov utredningen visat hos barnet]</w:t>
      </w:r>
      <w:r>
        <w:t xml:space="preserve"> </w:t>
      </w:r>
      <w:r>
        <w:rPr>
          <w:b/>
          <w:bCs/>
        </w:rPr>
        <w:t xml:space="preserve">Bedömning av den sökta insatsen:</w:t>
      </w:r>
      <w:r>
        <w:t xml:space="preserve"> </w:t>
      </w:r>
      <w:r>
        <w:rPr>
          <w:vanish/>
        </w:rPr>
        <w:t xml:space="preserve">[Motivera varför insatsen bifalls, delvis bifalls eller avslås — koppla till behovet och till barnets bästa]</w:t>
      </w:r>
      <w:r>
        <w:t xml:space="preserve"> </w:t>
      </w:r>
      <w:r>
        <w:rPr>
          <w:b/>
          <w:bCs/>
        </w:rPr>
        <w:t xml:space="preserve">Vid delvis bifall/avslag:</w:t>
      </w:r>
      <w:r>
        <w:t xml:space="preserve"> </w:t>
      </w:r>
      <w:r>
        <w:rPr>
          <w:vanish/>
        </w:rPr>
        <w:t xml:space="preserve">[Ange särskilt vilken del som avslås, vilket behov som inte anses föreligga eller kan tillgodoses på annat sätt, och grunden för det]</w:t>
      </w:r>
    </w:p>
    <w:bookmarkEnd w:id="14"/>
    <w:bookmarkStart w:id="16" w:name="beslut"/>
    <w:p>
      <w:pPr>
        <w:pStyle w:val="Heading2"/>
      </w:pPr>
      <w:r>
        <w:t xml:space="preserve">6. Beslut</w:t>
      </w:r>
    </w:p>
    <w:p>
      <w:pPr>
        <w:pStyle w:val="FirstParagraph"/>
      </w:pPr>
      <w:r>
        <w:t xml:space="preserve">Sätt kryss: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Bifall</w:t>
      </w:r>
      <w:r>
        <w:t xml:space="preserve"> </w:t>
      </w:r>
      <w:r>
        <w:t xml:space="preserve">— ansökan beviljas i sin helhet.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Delvis bifall</w:t>
      </w:r>
      <w:r>
        <w:t xml:space="preserve"> </w:t>
      </w:r>
      <w:r>
        <w:t xml:space="preserve">— ansökan beviljas till viss del; övrigt avslås (motivera i avsnitt 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Avslag</w:t>
      </w:r>
      <w:r>
        <w:t xml:space="preserve"> </w:t>
      </w:r>
      <w:r>
        <w:t xml:space="preserve">— ansökan avslås (motivera i avsnitt 5; överklagandehänvisning enligt avsnitt 8).</w:t>
      </w:r>
    </w:p>
    <w:p>
      <w:pPr>
        <w:pStyle w:val="FirstParagraph"/>
      </w:pPr>
      <w:r>
        <w:rPr>
          <w:b/>
          <w:bCs/>
        </w:rPr>
        <w:t xml:space="preserve">Beviljad insats:</w:t>
      </w:r>
      <w:r>
        <w:t xml:space="preserve"> </w:t>
      </w:r>
      <w:r>
        <w:rPr>
          <w:vanish/>
        </w:rPr>
        <w:t xml:space="preserve">[Ange exakt vilken insats som beviljas]</w:t>
      </w:r>
      <w:r>
        <w:t xml:space="preserve"> </w:t>
      </w:r>
      <w:r>
        <w:rPr>
          <w:b/>
          <w:bCs/>
        </w:rPr>
        <w:t xml:space="preserve">Omfattning:</w:t>
      </w:r>
      <w:r>
        <w:t xml:space="preserve"> </w:t>
      </w:r>
      <w:r>
        <w:rPr>
          <w:vanish/>
        </w:rPr>
        <w:t xml:space="preserve">[T.ex. antal tillfällen/timmar per vecka, kontaktperson visst antal timmar]</w:t>
      </w:r>
      <w:r>
        <w:t xml:space="preserve"> </w:t>
      </w:r>
      <w:r>
        <w:rPr>
          <w:b/>
          <w:bCs/>
        </w:rPr>
        <w:t xml:space="preserve">Beslutet gäller för tiden:</w:t>
      </w:r>
      <w:r>
        <w:t xml:space="preserve"> </w:t>
      </w:r>
      <w:r>
        <w:rPr>
          <w:vanish/>
        </w:rPr>
        <w:t xml:space="preserve">[ÅÅÅÅ-MM-DD]</w:t>
      </w:r>
      <w:r>
        <w:t xml:space="preserve"> — </w:t>
      </w:r>
      <w:r>
        <w:rPr>
          <w:vanish/>
        </w:rPr>
        <w:t xml:space="preserve">[ÅÅÅÅ-MM-DD]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(eller "tills vidare med omprövning senast [datum]")</w:t>
      </w:r>
      <w:r>
        <w:t xml:space="preserve"> </w:t>
      </w:r>
      <w:r>
        <w:rPr>
          <w:b/>
          <w:bCs/>
        </w:rPr>
        <w:t xml:space="preserve">Utförare/verkställighet:</w:t>
      </w:r>
      <w:r>
        <w:t xml:space="preserve"> </w:t>
      </w:r>
      <w:r>
        <w:rPr>
          <w:vanish/>
        </w:rPr>
        <w:t xml:space="preserve">[Vem verkställer insatsen]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Beslutet ska vara verkställbart — en genomförandeplan upprättas därefter tillsammans med barn och vårdnadshavare. Ett tidsbegränsat beslut ska följas upp och omprövas.</w:t>
      </w:r>
    </w:p>
    <w:p>
      <w:pPr>
        <w:pStyle w:val="BodyText"/>
      </w:pPr>
      <w:r>
        <w:t xml:space="preserve">→ Nästa dokument vid bifall:</w:t>
      </w:r>
      <w:r>
        <w:t xml:space="preserve"> </w:t>
      </w:r>
      <w:hyperlink r:id="rId15">
        <w:r>
          <w:rPr>
            <w:rStyle w:val="Hyperlink"/>
          </w:rPr>
          <w:t xml:space="preserve">Genomförandeplan</w:t>
        </w:r>
      </w:hyperlink>
    </w:p>
    <w:bookmarkEnd w:id="16"/>
    <w:bookmarkStart w:id="17" w:name="beslutsfattare-och-delegation"/>
    <w:p>
      <w:pPr>
        <w:pStyle w:val="Heading2"/>
      </w:pPr>
      <w:r>
        <w:t xml:space="preserve">7. Beslutsfattare och delegation</w:t>
      </w:r>
    </w:p>
    <w:p>
      <w:pPr>
        <w:pStyle w:val="FirstParagraph"/>
      </w:pPr>
      <w:r>
        <w:rPr>
          <w:b/>
          <w:bCs/>
        </w:rPr>
        <w:t xml:space="preserve">Beslut fattat av:</w:t>
      </w:r>
      <w:r>
        <w:t xml:space="preserve"> </w:t>
      </w:r>
      <w:r>
        <w:rPr>
          <w:vanish/>
        </w:rPr>
        <w:t xml:space="preserve">[Namn]</w:t>
      </w:r>
      <w:r>
        <w:t xml:space="preserve"> </w:t>
      </w:r>
      <w:r>
        <w:rPr>
          <w:b/>
          <w:bCs/>
        </w:rPr>
        <w:t xml:space="preserve">Titel:</w:t>
      </w:r>
      <w:r>
        <w:t xml:space="preserve"> </w:t>
      </w:r>
      <w:r>
        <w:rPr>
          <w:vanish/>
        </w:rPr>
        <w:t xml:space="preserve">[T.ex. socialsekreterare / 1:e socialsekreterare / enhetschef]</w:t>
      </w:r>
      <w:r>
        <w:t xml:space="preserve"> </w:t>
      </w:r>
      <w:r>
        <w:rPr>
          <w:b/>
          <w:bCs/>
        </w:rPr>
        <w:t xml:space="preserve">Enligt delegationsordningens punkt:</w:t>
      </w:r>
      <w:r>
        <w:t xml:space="preserve"> </w:t>
      </w:r>
      <w:r>
        <w:rPr>
          <w:vanish/>
        </w:rPr>
        <w:t xml:space="preserve">[Ange punkt/nummer i kommunens delegationsordning — verifiera behörighet för just denna beslutstyp]</w:t>
      </w:r>
      <w:r>
        <w:t xml:space="preserve"> </w:t>
      </w:r>
      <w:r>
        <w:rPr>
          <w:b/>
          <w:bCs/>
        </w:rPr>
        <w:t xml:space="preserve">Beslutsdatum:</w:t>
      </w:r>
      <w:r>
        <w:t xml:space="preserve"> </w:t>
      </w:r>
      <w:r>
        <w:rPr>
          <w:vanish/>
        </w:rPr>
        <w:t xml:space="preserve">[ÅÅÅÅ-MM-DD]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Kontrollera att du är delegerad att fatta beslut av denna typ och omfattning. Överskrider beslutet din delegation ska det lyftas till rätt beslutsnivå eller till nämnden/utskottet.</w:t>
      </w:r>
    </w:p>
    <w:bookmarkEnd w:id="17"/>
    <w:bookmarkStart w:id="20" w:name="överklagandehänvisning-och-underrättelse"/>
    <w:p>
      <w:pPr>
        <w:pStyle w:val="Heading2"/>
      </w:pPr>
      <w:r>
        <w:t xml:space="preserve">8. Överklagandehänvisning och underrättelse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Den sökande ska underrättas om beslutet. Ett bifallsbeslut i sin helhet saknar normalt överklagandehänvisning — endast underrättelse behövs. Vid avslag eller delvis avslag ska underrättelsen innehålla en fullständig överklagandehänvisning (förvaltningsbesvär) — hur, till vem (förvaltningsrätten) och inom vilken tid (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 besvärstid mot förvaltningslagen 2017:900 — tre veckor från delgivning]</w:t>
      </w:r>
      <w:r>
        <w:rPr>
          <w:i/>
          <w:iCs/>
          <w:color w:val="1F6FC5"/>
          <w:sz w:val="16"/>
          <w:szCs w:val="16"/>
        </w:rPr>
        <w:t xml:space="preserve">) beslutet kan överklagas. Endast den som beslutet angår (sökande/vårdnadshavare eller ombud) får överklaga. Använd de färdiga mallarna för kommunicering och underrättelse.</w:t>
      </w:r>
    </w:p>
    <w:p>
      <w:pPr>
        <w:pStyle w:val="Compact"/>
        <w:numPr>
          <w:ilvl w:val="0"/>
          <w:numId w:val="1008"/>
        </w:numPr>
      </w:pPr>
      <w:r>
        <w:t xml:space="preserve">Beslutet kommunicerat med sökande före verkställighet: </w:t>
      </w:r>
      <w:r>
        <w:rPr>
          <w:vanish/>
        </w:rPr>
        <w:t xml:space="preserve">[datum]</w:t>
      </w:r>
      <w:r>
        <w:t xml:space="preserve"> →</w:t>
      </w:r>
      <w:r>
        <w:t xml:space="preserve"> </w:t>
      </w:r>
      <w:hyperlink r:id="rId18">
        <w:r>
          <w:rPr>
            <w:rStyle w:val="Hyperlink"/>
          </w:rPr>
          <w:t xml:space="preserve">Kommunicering</w:t>
        </w:r>
      </w:hyperlink>
    </w:p>
    <w:p>
      <w:pPr>
        <w:pStyle w:val="Compact"/>
        <w:numPr>
          <w:ilvl w:val="0"/>
          <w:numId w:val="1009"/>
        </w:numPr>
      </w:pPr>
      <w:r>
        <w:t xml:space="preserve">Underrättelse om beslut skickad till sökande: </w:t>
      </w:r>
      <w:r>
        <w:rPr>
          <w:vanish/>
        </w:rPr>
        <w:t xml:space="preserve">[datum]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Vid avslag/delvis avslag:</w:t>
      </w:r>
      <w:r>
        <w:t xml:space="preserve"> </w:t>
      </w:r>
      <w:r>
        <w:t xml:space="preserve">överklagandehänvisning bifogad →</w:t>
      </w:r>
      <w:r>
        <w:t xml:space="preserve"> </w:t>
      </w:r>
      <w:hyperlink r:id="rId19">
        <w:r>
          <w:rPr>
            <w:rStyle w:val="Hyperlink"/>
          </w:rPr>
          <w:t xml:space="preserve">Underrättelse och överklagandehänvisning</w:t>
        </w:r>
      </w:hyperlink>
    </w:p>
    <w:p>
      <w:pPr>
        <w:pStyle w:val="Compact"/>
        <w:numPr>
          <w:ilvl w:val="0"/>
          <w:numId w:val="1011"/>
        </w:numPr>
      </w:pPr>
      <w:r>
        <w:t xml:space="preserve">Barnet informerat om beslutet på ett sätt anpassat till ålder och mognad: </w:t>
      </w:r>
      <w:r>
        <w:rPr>
          <w:vanish/>
        </w:rPr>
        <w:t xml:space="preserve">[datum/hur]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Beslutet blir en förvarad allmän handling först när det committas till facksystemet (Treserva). Signering sker via e-underskrift. Kontrollera att rätt version committas och att underrättelsen dokumenteras.</w:t>
      </w:r>
    </w:p>
    <w:p>
      <w:r>
        <w:pict>
          <v:rect style="width:0;height:1.5pt" o:hralign="center" o:hrstd="t" o:hr="t"/>
        </w:pict>
      </w:r>
    </w:p>
    <w:bookmarkEnd w:id="20"/>
    <w:bookmarkStart w:id="21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 fattat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Delegationspunkt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[Punkt i delegationsordningen]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Beslutsdatum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E-underskrift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[Signerat ÅÅÅÅ-MM-DD hh:mm]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Committat till facksystem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[Treserva dnr / tidpunkt]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Underrättad sökande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datum]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21"/>
    <w:bookmarkEnd w:id="22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15 Beslut om bistånd eller insats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05-bbic-utredning.md" TargetMode="External" /><Relationship Type="http://schemas.openxmlformats.org/officeDocument/2006/relationships/hyperlink" Id="rId15" Target="13-genomforandeplan.md" TargetMode="External" /><Relationship Type="http://schemas.openxmlformats.org/officeDocument/2006/relationships/hyperlink" Id="rId18" Target="16-kommunicering.md" TargetMode="External" /><Relationship Type="http://schemas.openxmlformats.org/officeDocument/2006/relationships/hyperlink" Id="rId19" Target="17-underrattelse-overklagande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5-bbic-utredning.md" TargetMode="External" /><Relationship Type="http://schemas.openxmlformats.org/officeDocument/2006/relationships/hyperlink" Id="rId15" Target="13-genomforandeplan.md" TargetMode="External" /><Relationship Type="http://schemas.openxmlformats.org/officeDocument/2006/relationships/hyperlink" Id="rId18" Target="16-kommunicering.md" TargetMode="External" /><Relationship Type="http://schemas.openxmlformats.org/officeDocument/2006/relationships/hyperlink" Id="rId19" Target="17-underrattelse-overklagan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2026-07-07T07:57:56Z</dcterms:created>
  <dcterms:modified xsi:type="dcterms:W3CDTF">2026-07-07T07:57:56Z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