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World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Es el concepto fundamental asociado a la documentación de software. La ar-</w:t>
      </w:r>
      <w:proofErr w:type="spellStart"/>
      <w:r>
        <w:rPr>
          <w:sz w:val="23"/>
          <w:szCs w:val="23"/>
        </w:rPr>
        <w:t>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w:t>
      </w:r>
      <w:proofErr w:type="spellEnd"/>
      <w:r>
        <w:rPr>
          <w:sz w:val="23"/>
          <w:szCs w:val="23"/>
        </w:rPr>
        <w:t>-tes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y ,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incluye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xml:space="preserve">,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almacenados)en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r>
        <w:rPr>
          <w:sz w:val="23"/>
          <w:szCs w:val="23"/>
        </w:rPr>
        <w:t>runtime</w:t>
      </w:r>
      <w:proofErr w:type="spell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macroprocesos.</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Incluye los atributos personalizados(“</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Esta capa es responsable de manejar el ultimo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passing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  y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r>
        <w:rPr>
          <w:sz w:val="23"/>
          <w:szCs w:val="23"/>
        </w:rPr>
        <w:t>Figura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Los elementos (componentes) y sus responsabilidad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practicas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Cabe notar que la implementación de cada uno de los catálogos mantiene la uniformidad y consistencia y esto se asegura a partir de siguientes practicas:</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macroproceso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macroproceso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[Macroproceso]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[Macroprocesos]</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Contiene entidades de negocio que son comunes a distintos macroprocesos.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Este proyecto tiene un conjunto de clases (DTO) cuyo objetivo es agrupar información(no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[Macroproceso].</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En este proyecto se implementan las reglas de negocio particulares del macroproceso</w:t>
            </w:r>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[Macroproceso].</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macroproceso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[Macroproceso].</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Implementa otra de las capas lógicas identificada. En este caso la capa lógica de procesos de negocio para un macroproceso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[Macroproceso].</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Como en el caso anterior este proyecto implementa la siguiente capa lógica de un macroproceso.</w:t>
            </w:r>
          </w:p>
          <w:p w14:paraId="207C26F1" w14:textId="723014F2" w:rsidR="00D000B8" w:rsidRPr="004B4CC5" w:rsidRDefault="00D000B8" w:rsidP="00EE2B3E">
            <w:pPr>
              <w:rPr>
                <w:sz w:val="23"/>
                <w:szCs w:val="23"/>
              </w:rPr>
            </w:pPr>
            <w:r w:rsidRPr="004B4CC5">
              <w:rPr>
                <w:sz w:val="23"/>
                <w:szCs w:val="23"/>
              </w:rPr>
              <w:t>Contiene una clase única que sirve como punto de entrada al macroproceso</w:t>
            </w:r>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Contiene servicios web para cada macroproceso.</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“esta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macroprocesos,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refinándolos a su vez en submódulos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renderización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es utilizar escalamiento horizontal(</w:t>
      </w:r>
      <w:proofErr w:type="spellStart"/>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r w:rsidR="00EB7295">
        <w:rPr>
          <w:sz w:val="23"/>
          <w:szCs w:val="23"/>
        </w:rPr>
        <w:t>numero</w:t>
      </w:r>
      <w:proofErr w:type="spell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r w:rsidR="00087828">
        <w:rPr>
          <w:sz w:val="23"/>
          <w:szCs w:val="23"/>
        </w:rPr>
        <w:t>que</w:t>
      </w:r>
      <w:proofErr w:type="spell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servidor , estos serán organizados en carpetas por macroprocesos.</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autenticación a través del macroproceso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 ver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macroprocesos,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autenticación a través del macroproceso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está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 xml:space="preserve">Procedimientos almacenados (operaciones CRUD): Los procedimientos almacenados son una útil herramienta ya que proporcionan un mecanismo eficiente para el manejo (alta ,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los siguiente criterios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@SQLString</w:t>
      </w:r>
    </w:p>
    <w:p w14:paraId="6E52D4FF" w14:textId="3B34508D" w:rsidR="000F5FE3" w:rsidRPr="000F5FE3" w:rsidRDefault="00000000" w:rsidP="000F5FE3">
      <w:pPr>
        <w:ind w:left="708"/>
        <w:rPr>
          <w:sz w:val="23"/>
          <w:szCs w:val="23"/>
        </w:rPr>
      </w:pPr>
      <w:hyperlink r:id="rId6" w:history="1">
        <w:r w:rsidR="000F5FE3" w:rsidRPr="000F5FE3">
          <w:rPr>
            <w:rStyle w:val="Hipervnculo"/>
            <w:color w:val="auto"/>
            <w:sz w:val="23"/>
            <w:szCs w:val="23"/>
            <w:u w:val="none"/>
          </w:rPr>
          <w:t>@ParmDefinition</w:t>
        </w:r>
      </w:hyperlink>
    </w:p>
    <w:p w14:paraId="73E6162D" w14:textId="2F68FC35" w:rsidR="000F5FE3" w:rsidRDefault="000F5FE3" w:rsidP="000F5FE3">
      <w:pPr>
        <w:ind w:left="708"/>
        <w:rPr>
          <w:sz w:val="23"/>
          <w:szCs w:val="23"/>
        </w:rPr>
      </w:pPr>
      <w:r>
        <w:rPr>
          <w:sz w:val="23"/>
          <w:szCs w:val="23"/>
        </w:rPr>
        <w:t>@CustomerID=@IntVariable</w:t>
      </w:r>
    </w:p>
    <w:p w14:paraId="5EF31B3E" w14:textId="4C69316B" w:rsidR="000F5FE3" w:rsidRDefault="000F5FE3" w:rsidP="000F5FE3">
      <w:pPr>
        <w:ind w:left="708"/>
        <w:rPr>
          <w:sz w:val="23"/>
          <w:szCs w:val="23"/>
        </w:rPr>
      </w:pPr>
      <w:r>
        <w:rPr>
          <w:sz w:val="23"/>
          <w:szCs w:val="23"/>
        </w:rPr>
        <w:t xml:space="preserve">@SalerOrderOUT=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 </w:t>
      </w:r>
      <w:proofErr w:type="spellStart"/>
      <w:r w:rsidR="009F1F4C">
        <w:rPr>
          <w:sz w:val="23"/>
          <w:szCs w:val="23"/>
        </w:rPr>
        <w:t>calculo</w:t>
      </w:r>
      <w:proofErr w:type="spell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r>
        <w:rPr>
          <w:sz w:val="23"/>
          <w:szCs w:val="23"/>
        </w:rPr>
        <w:t xml:space="preserve">Table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LookUp:Restringir</w:t>
      </w:r>
      <w:proofErr w:type="spell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.zip</w:t>
      </w:r>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web :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r>
        <w:rPr>
          <w:sz w:val="23"/>
          <w:szCs w:val="23"/>
        </w:rPr>
        <w:t>EXCargaMasivaXYZ</w:t>
      </w:r>
      <w:proofErr w:type="spell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r w:rsidRPr="008B4574">
        <w:rPr>
          <w:color w:val="FF0000"/>
          <w:sz w:val="23"/>
          <w:szCs w:val="23"/>
        </w:rPr>
        <w:t>Imagen</w:t>
      </w:r>
      <w:proofErr w:type="spell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r w:rsidRPr="008B4574">
        <w:rPr>
          <w:color w:val="FF0000"/>
          <w:sz w:val="23"/>
          <w:szCs w:val="23"/>
        </w:rPr>
        <w:t>Imagen</w:t>
      </w:r>
      <w:proofErr w:type="spell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r w:rsidRPr="008B4574">
        <w:rPr>
          <w:color w:val="FF0000"/>
          <w:sz w:val="23"/>
          <w:szCs w:val="23"/>
        </w:rPr>
        <w:t>Imagen</w:t>
      </w:r>
      <w:proofErr w:type="spell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 xml:space="preserve">El patrón de arquitectura Modelo-vista-controlador (MVC) separa la aplicación en tres componentes principales: El modelo, la vista y el controlador (ver figura 21) .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Form</w:t>
      </w:r>
      <w:r w:rsidR="00CC5151">
        <w:rPr>
          <w:sz w:val="23"/>
          <w:szCs w:val="23"/>
        </w:rPr>
        <w:t>s</w:t>
      </w:r>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60A6A5C0" w14:textId="7197A48A" w:rsidR="00CC5151"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r w:rsidR="00003EB1">
        <w:rPr>
          <w:sz w:val="23"/>
          <w:szCs w:val="23"/>
        </w:rPr>
        <w:t>interacción</w:t>
      </w:r>
      <w:r w:rsidR="00B1780F">
        <w:rPr>
          <w:sz w:val="23"/>
          <w:szCs w:val="23"/>
        </w:rPr>
        <w:t xml:space="preserve"> con el usuario</w:t>
      </w:r>
      <w:r w:rsidR="009C49AA">
        <w:rPr>
          <w:sz w:val="23"/>
          <w:szCs w:val="23"/>
        </w:rPr>
        <w:t xml:space="preserve">, el trabajo con el modelo, y finalmente seleccionar una vista para hacer que muestra la interfaz de usuario. En una aplicación MVC, la vista solo muestra la información; el controlador maneja y responde a la entrada del usuario y la </w:t>
      </w:r>
      <w:r w:rsidR="00151F0F">
        <w:rPr>
          <w:sz w:val="23"/>
          <w:szCs w:val="23"/>
        </w:rPr>
        <w:t>interacción</w:t>
      </w:r>
      <w:r w:rsidR="009C49AA">
        <w:rPr>
          <w:sz w:val="23"/>
          <w:szCs w:val="23"/>
        </w:rPr>
        <w:t xml:space="preserve">. Por ejemplo, el controlador </w:t>
      </w:r>
      <w:r w:rsidR="00151F0F">
        <w:rPr>
          <w:sz w:val="23"/>
          <w:szCs w:val="23"/>
        </w:rPr>
        <w:t>trata</w:t>
      </w:r>
      <w:r w:rsidR="009C49AA">
        <w:rPr>
          <w:sz w:val="23"/>
          <w:szCs w:val="23"/>
        </w:rPr>
        <w:t xml:space="preserve"> los valores de cadena de consulta, y pasa estos valores en el modelo, que a su vez podría utilizar </w:t>
      </w:r>
      <w:r w:rsidR="00151F0F">
        <w:rPr>
          <w:sz w:val="23"/>
          <w:szCs w:val="23"/>
        </w:rPr>
        <w:t>estos valores para consultar la base de datos.</w:t>
      </w:r>
    </w:p>
    <w:p w14:paraId="619037EB" w14:textId="48214407" w:rsidR="00151F0F" w:rsidRPr="002F6CF1" w:rsidRDefault="00151F0F" w:rsidP="002F6CF1">
      <w:pPr>
        <w:rPr>
          <w:sz w:val="23"/>
          <w:szCs w:val="23"/>
        </w:rPr>
      </w:pPr>
      <w:r>
        <w:rPr>
          <w:sz w:val="23"/>
          <w:szCs w:val="23"/>
        </w:rPr>
        <w:t xml:space="preserve">El </w:t>
      </w:r>
      <w:proofErr w:type="spellStart"/>
      <w:r>
        <w:rPr>
          <w:sz w:val="23"/>
          <w:szCs w:val="23"/>
        </w:rPr>
        <w:t>patron</w:t>
      </w:r>
      <w:proofErr w:type="spellEnd"/>
      <w:r>
        <w:rPr>
          <w:sz w:val="23"/>
          <w:szCs w:val="23"/>
        </w:rPr>
        <w:t xml:space="preserve"> MVC ayuda a crear aplicaciones que separan los diferentes aspectos de la aplicación (lógica de entrada, la lógica de negocio, la lógica de interfaz de usuario), mientras que proporciona un acoplamiento débil entre estos elementos. El patrón especifica que cada tipo de lógica se debe colocar en la solicitud. La lógica de la interfaz de usuario pertenece en la vista. Lógica de entrada pertenece en el controlador. La </w:t>
      </w:r>
      <w:r w:rsidR="00BC436E">
        <w:rPr>
          <w:sz w:val="23"/>
          <w:szCs w:val="23"/>
        </w:rPr>
        <w:t xml:space="preserve">lógica de negocio pertenece en el modelo. Esta separación ayuda a gestionar la complejidad cuando se genera una aplicación, ya que le permite centrarse en un aspecto de la aplicación a la </w:t>
      </w:r>
      <w:proofErr w:type="spellStart"/>
      <w:r w:rsidR="00BC436E">
        <w:rPr>
          <w:sz w:val="23"/>
          <w:szCs w:val="23"/>
        </w:rPr>
        <w:t>vez.</w:t>
      </w:r>
      <w:r w:rsidR="00C3326E">
        <w:rPr>
          <w:sz w:val="23"/>
          <w:szCs w:val="23"/>
        </w:rPr>
        <w:t>Por</w:t>
      </w:r>
      <w:proofErr w:type="spellEnd"/>
      <w:r w:rsidR="00C3326E">
        <w:rPr>
          <w:sz w:val="23"/>
          <w:szCs w:val="23"/>
        </w:rPr>
        <w:t xml:space="preserve"> ejemplo, usted puede centrarse en la vista sin depender de la lógica de negocio </w:t>
      </w:r>
    </w:p>
    <w:sectPr w:rsidR="00151F0F" w:rsidRPr="002F6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9"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9956427">
    <w:abstractNumId w:val="0"/>
  </w:num>
  <w:num w:numId="2" w16cid:durableId="2128893248">
    <w:abstractNumId w:val="11"/>
  </w:num>
  <w:num w:numId="3" w16cid:durableId="1618104868">
    <w:abstractNumId w:val="13"/>
  </w:num>
  <w:num w:numId="4" w16cid:durableId="729619272">
    <w:abstractNumId w:val="1"/>
  </w:num>
  <w:num w:numId="5" w16cid:durableId="1839464807">
    <w:abstractNumId w:val="3"/>
  </w:num>
  <w:num w:numId="6" w16cid:durableId="1666936863">
    <w:abstractNumId w:val="4"/>
  </w:num>
  <w:num w:numId="7" w16cid:durableId="1772698540">
    <w:abstractNumId w:val="9"/>
  </w:num>
  <w:num w:numId="8" w16cid:durableId="930820822">
    <w:abstractNumId w:val="10"/>
  </w:num>
  <w:num w:numId="9" w16cid:durableId="573707423">
    <w:abstractNumId w:val="2"/>
  </w:num>
  <w:num w:numId="10" w16cid:durableId="1551304129">
    <w:abstractNumId w:val="18"/>
  </w:num>
  <w:num w:numId="11" w16cid:durableId="1934320267">
    <w:abstractNumId w:val="7"/>
  </w:num>
  <w:num w:numId="12" w16cid:durableId="2047754255">
    <w:abstractNumId w:val="17"/>
  </w:num>
  <w:num w:numId="13" w16cid:durableId="1237860303">
    <w:abstractNumId w:val="21"/>
  </w:num>
  <w:num w:numId="14" w16cid:durableId="824661393">
    <w:abstractNumId w:val="22"/>
  </w:num>
  <w:num w:numId="15" w16cid:durableId="816847255">
    <w:abstractNumId w:val="16"/>
  </w:num>
  <w:num w:numId="16" w16cid:durableId="2062249112">
    <w:abstractNumId w:val="5"/>
  </w:num>
  <w:num w:numId="17" w16cid:durableId="862089957">
    <w:abstractNumId w:val="8"/>
  </w:num>
  <w:num w:numId="18" w16cid:durableId="1938978624">
    <w:abstractNumId w:val="14"/>
  </w:num>
  <w:num w:numId="19" w16cid:durableId="575674727">
    <w:abstractNumId w:val="15"/>
  </w:num>
  <w:num w:numId="20" w16cid:durableId="1841120459">
    <w:abstractNumId w:val="12"/>
  </w:num>
  <w:num w:numId="21" w16cid:durableId="557474145">
    <w:abstractNumId w:val="6"/>
  </w:num>
  <w:num w:numId="22" w16cid:durableId="7413037">
    <w:abstractNumId w:val="19"/>
  </w:num>
  <w:num w:numId="23" w16cid:durableId="52569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D"/>
    <w:rsid w:val="00003EB1"/>
    <w:rsid w:val="000072AC"/>
    <w:rsid w:val="00012BC7"/>
    <w:rsid w:val="00030B18"/>
    <w:rsid w:val="000616BF"/>
    <w:rsid w:val="000709F2"/>
    <w:rsid w:val="0008644C"/>
    <w:rsid w:val="00087828"/>
    <w:rsid w:val="000C5B38"/>
    <w:rsid w:val="000C74BC"/>
    <w:rsid w:val="000E27E0"/>
    <w:rsid w:val="000E3A66"/>
    <w:rsid w:val="000F5EC8"/>
    <w:rsid w:val="000F5FE3"/>
    <w:rsid w:val="001103FB"/>
    <w:rsid w:val="0011657B"/>
    <w:rsid w:val="001407AB"/>
    <w:rsid w:val="00143830"/>
    <w:rsid w:val="00151F0F"/>
    <w:rsid w:val="00192D26"/>
    <w:rsid w:val="001979D1"/>
    <w:rsid w:val="001A6D2F"/>
    <w:rsid w:val="001D2A5F"/>
    <w:rsid w:val="001D33FE"/>
    <w:rsid w:val="001E4207"/>
    <w:rsid w:val="00227A1D"/>
    <w:rsid w:val="00235ACA"/>
    <w:rsid w:val="002818F1"/>
    <w:rsid w:val="00291A90"/>
    <w:rsid w:val="002A45C2"/>
    <w:rsid w:val="002C774E"/>
    <w:rsid w:val="002D7052"/>
    <w:rsid w:val="002F6CF1"/>
    <w:rsid w:val="00305527"/>
    <w:rsid w:val="00326873"/>
    <w:rsid w:val="00336CF8"/>
    <w:rsid w:val="00355E07"/>
    <w:rsid w:val="003749AF"/>
    <w:rsid w:val="00377D61"/>
    <w:rsid w:val="003A5CFD"/>
    <w:rsid w:val="003C1D0B"/>
    <w:rsid w:val="003C53AF"/>
    <w:rsid w:val="004267BA"/>
    <w:rsid w:val="004406E6"/>
    <w:rsid w:val="00474F20"/>
    <w:rsid w:val="004936D3"/>
    <w:rsid w:val="004A19E9"/>
    <w:rsid w:val="004A37A1"/>
    <w:rsid w:val="004B4CC5"/>
    <w:rsid w:val="004B503E"/>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BD1"/>
    <w:rsid w:val="00602F8E"/>
    <w:rsid w:val="00656EC3"/>
    <w:rsid w:val="00661D7E"/>
    <w:rsid w:val="006B4EDF"/>
    <w:rsid w:val="006C7C38"/>
    <w:rsid w:val="006D0738"/>
    <w:rsid w:val="006E7F24"/>
    <w:rsid w:val="0070756A"/>
    <w:rsid w:val="0071258A"/>
    <w:rsid w:val="0072124D"/>
    <w:rsid w:val="0072480B"/>
    <w:rsid w:val="007518F0"/>
    <w:rsid w:val="00771611"/>
    <w:rsid w:val="007B4661"/>
    <w:rsid w:val="0080115D"/>
    <w:rsid w:val="00825D78"/>
    <w:rsid w:val="0085431D"/>
    <w:rsid w:val="00857AB2"/>
    <w:rsid w:val="00870FF0"/>
    <w:rsid w:val="00892538"/>
    <w:rsid w:val="008B1C6C"/>
    <w:rsid w:val="008B2466"/>
    <w:rsid w:val="008B4574"/>
    <w:rsid w:val="00941976"/>
    <w:rsid w:val="0094233C"/>
    <w:rsid w:val="00946AC1"/>
    <w:rsid w:val="00987798"/>
    <w:rsid w:val="00993D1D"/>
    <w:rsid w:val="009A1711"/>
    <w:rsid w:val="009C49AA"/>
    <w:rsid w:val="009E3533"/>
    <w:rsid w:val="009F1F4C"/>
    <w:rsid w:val="00A12CAB"/>
    <w:rsid w:val="00A2782A"/>
    <w:rsid w:val="00A86089"/>
    <w:rsid w:val="00A93F2E"/>
    <w:rsid w:val="00A95F49"/>
    <w:rsid w:val="00AA3FFA"/>
    <w:rsid w:val="00AB08FB"/>
    <w:rsid w:val="00AC0851"/>
    <w:rsid w:val="00AE14F7"/>
    <w:rsid w:val="00AF1E84"/>
    <w:rsid w:val="00B1780F"/>
    <w:rsid w:val="00B5153A"/>
    <w:rsid w:val="00B56325"/>
    <w:rsid w:val="00B564EE"/>
    <w:rsid w:val="00B71FA7"/>
    <w:rsid w:val="00B754D8"/>
    <w:rsid w:val="00B82F83"/>
    <w:rsid w:val="00B954BA"/>
    <w:rsid w:val="00BB32A7"/>
    <w:rsid w:val="00BC092C"/>
    <w:rsid w:val="00BC436E"/>
    <w:rsid w:val="00BE2019"/>
    <w:rsid w:val="00BE2194"/>
    <w:rsid w:val="00BE338F"/>
    <w:rsid w:val="00BF0FE0"/>
    <w:rsid w:val="00C00B9D"/>
    <w:rsid w:val="00C023EC"/>
    <w:rsid w:val="00C3326E"/>
    <w:rsid w:val="00C65325"/>
    <w:rsid w:val="00C731D2"/>
    <w:rsid w:val="00C87B9C"/>
    <w:rsid w:val="00C9019B"/>
    <w:rsid w:val="00CA3B8E"/>
    <w:rsid w:val="00CB20A4"/>
    <w:rsid w:val="00CC5151"/>
    <w:rsid w:val="00CE00F1"/>
    <w:rsid w:val="00CE37EF"/>
    <w:rsid w:val="00D000B8"/>
    <w:rsid w:val="00D1330C"/>
    <w:rsid w:val="00DA6644"/>
    <w:rsid w:val="00DC60F5"/>
    <w:rsid w:val="00DE315B"/>
    <w:rsid w:val="00E0305B"/>
    <w:rsid w:val="00E130A2"/>
    <w:rsid w:val="00E73E7C"/>
    <w:rsid w:val="00EA382D"/>
    <w:rsid w:val="00EA675A"/>
    <w:rsid w:val="00EB7295"/>
    <w:rsid w:val="00EC677F"/>
    <w:rsid w:val="00EE2B3E"/>
    <w:rsid w:val="00F21D9C"/>
    <w:rsid w:val="00F32CAB"/>
    <w:rsid w:val="00F4136F"/>
    <w:rsid w:val="00F526FC"/>
    <w:rsid w:val="00F70416"/>
    <w:rsid w:val="00F938CF"/>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mDefinitio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40</Pages>
  <Words>13829</Words>
  <Characters>76065</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ANTONIO SARMIENTO ORJUELA</cp:lastModifiedBy>
  <cp:revision>75</cp:revision>
  <dcterms:created xsi:type="dcterms:W3CDTF">2022-09-27T18:18:00Z</dcterms:created>
  <dcterms:modified xsi:type="dcterms:W3CDTF">2022-11-01T01:56:00Z</dcterms:modified>
</cp:coreProperties>
</file>