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5A3" w:rsidRDefault="00D475A3" w:rsidP="00D475A3">
      <w:pPr>
        <w:pStyle w:val="Title"/>
      </w:pPr>
      <w:r>
        <w:t>Iteration Guide</w:t>
      </w:r>
    </w:p>
    <w:p w:rsidR="00D475A3" w:rsidRPr="00D475A3" w:rsidRDefault="00D475A3" w:rsidP="00D475A3">
      <w:pPr>
        <w:pStyle w:val="Heading1"/>
      </w:pPr>
      <w:r>
        <w:t>Development</w:t>
      </w:r>
    </w:p>
    <w:tbl>
      <w:tblPr>
        <w:tblStyle w:val="MediumShading1-Accent11"/>
        <w:tblW w:w="0" w:type="auto"/>
        <w:tblLook w:val="04A0"/>
      </w:tblPr>
      <w:tblGrid>
        <w:gridCol w:w="7512"/>
        <w:gridCol w:w="2064"/>
      </w:tblGrid>
      <w:tr w:rsidR="00D475A3" w:rsidRPr="00D475A3" w:rsidTr="00D475A3">
        <w:trPr>
          <w:cnfStyle w:val="100000000000"/>
        </w:trPr>
        <w:tc>
          <w:tcPr>
            <w:cnfStyle w:val="001000000000"/>
            <w:tcW w:w="0" w:type="auto"/>
          </w:tcPr>
          <w:p w:rsidR="00D475A3" w:rsidRPr="00D475A3" w:rsidRDefault="00D475A3">
            <w:pPr>
              <w:rPr>
                <w:rFonts w:ascii="Calibri"/>
              </w:rPr>
            </w:pPr>
            <w:r w:rsidRPr="00D475A3">
              <w:rPr>
                <w:rFonts w:ascii="Calibri"/>
              </w:rPr>
              <w:t>Phase</w:t>
            </w:r>
          </w:p>
        </w:tc>
        <w:tc>
          <w:tcPr>
            <w:tcW w:w="0" w:type="auto"/>
          </w:tcPr>
          <w:p w:rsidR="00D475A3" w:rsidRPr="00D475A3" w:rsidRDefault="00D475A3">
            <w:pPr>
              <w:cnfStyle w:val="100000000000"/>
              <w:rPr>
                <w:rFonts w:ascii="Calibri"/>
              </w:rPr>
            </w:pPr>
            <w:r>
              <w:rPr>
                <w:rFonts w:ascii="Calibri"/>
              </w:rPr>
              <w:t>Progress</w:t>
            </w:r>
          </w:p>
        </w:tc>
      </w:tr>
      <w:tr w:rsidR="00D475A3" w:rsidRPr="00D475A3" w:rsidTr="00D475A3">
        <w:trPr>
          <w:cnfStyle w:val="000000100000"/>
        </w:trPr>
        <w:tc>
          <w:tcPr>
            <w:cnfStyle w:val="001000000000"/>
            <w:tcW w:w="0" w:type="auto"/>
            <w:shd w:val="clear" w:color="auto" w:fill="D6E3BC" w:themeFill="accent3" w:themeFillTint="66"/>
          </w:tcPr>
          <w:p w:rsidR="00D475A3" w:rsidRPr="00D475A3" w:rsidRDefault="00D475A3" w:rsidP="00D475A3">
            <w:pPr>
              <w:rPr>
                <w:rFonts w:ascii="Calibri"/>
              </w:rPr>
            </w:pPr>
            <w:r w:rsidRPr="00D475A3">
              <w:rPr>
                <w:rFonts w:ascii="Calibri"/>
              </w:rPr>
              <w:t>Iteration 0 - Documentation &amp; Project Setup</w:t>
            </w:r>
          </w:p>
        </w:tc>
        <w:tc>
          <w:tcPr>
            <w:tcW w:w="0" w:type="auto"/>
            <w:shd w:val="clear" w:color="auto" w:fill="D6E3BC" w:themeFill="accent3" w:themeFillTint="66"/>
          </w:tcPr>
          <w:p w:rsidR="00D475A3" w:rsidRPr="00D475A3" w:rsidRDefault="00D475A3">
            <w:pPr>
              <w:cnfStyle w:val="000000100000"/>
              <w:rPr>
                <w:rFonts w:ascii="Calibri"/>
                <w:b/>
              </w:rPr>
            </w:pPr>
            <w:r w:rsidRPr="00D475A3">
              <w:rPr>
                <w:rFonts w:ascii="Calibri"/>
                <w:b/>
              </w:rPr>
              <w:t>Complete</w:t>
            </w:r>
          </w:p>
        </w:tc>
      </w:tr>
      <w:tr w:rsidR="00D475A3" w:rsidTr="00D475A3">
        <w:trPr>
          <w:cnfStyle w:val="000000010000"/>
        </w:trPr>
        <w:tc>
          <w:tcPr>
            <w:cnfStyle w:val="001000000000"/>
            <w:tcW w:w="0" w:type="auto"/>
            <w:gridSpan w:val="2"/>
          </w:tcPr>
          <w:p w:rsidR="00D475A3" w:rsidRPr="00D475A3" w:rsidRDefault="00D475A3">
            <w:pPr>
              <w:rPr>
                <w:rFonts w:ascii="Calibri"/>
                <w:b w:val="0"/>
              </w:rPr>
            </w:pPr>
            <w:r w:rsidRPr="00D475A3">
              <w:rPr>
                <w:rFonts w:ascii="Calibri"/>
                <w:b w:val="0"/>
              </w:rPr>
              <w:t>Setup source control (SVN) &amp; branches, prepare documentation, assign roles, decide technologies, create a new solution.</w:t>
            </w:r>
          </w:p>
        </w:tc>
      </w:tr>
      <w:tr w:rsidR="00D475A3" w:rsidRPr="00D475A3" w:rsidTr="008B391C">
        <w:trPr>
          <w:cnfStyle w:val="000000100000"/>
        </w:trPr>
        <w:tc>
          <w:tcPr>
            <w:cnfStyle w:val="001000000000"/>
            <w:tcW w:w="0" w:type="auto"/>
            <w:shd w:val="clear" w:color="auto" w:fill="D6E3BC" w:themeFill="accent3" w:themeFillTint="66"/>
          </w:tcPr>
          <w:p w:rsidR="00D475A3" w:rsidRPr="00D475A3" w:rsidRDefault="00D475A3">
            <w:pPr>
              <w:rPr>
                <w:rFonts w:ascii="Calibri"/>
              </w:rPr>
            </w:pPr>
            <w:r w:rsidRPr="00D475A3">
              <w:rPr>
                <w:rFonts w:ascii="Calibri"/>
              </w:rPr>
              <w:t>Iteration 1 - Server database schema design &amp; web service setup</w:t>
            </w:r>
          </w:p>
        </w:tc>
        <w:tc>
          <w:tcPr>
            <w:tcW w:w="0" w:type="auto"/>
            <w:shd w:val="clear" w:color="auto" w:fill="D6E3BC" w:themeFill="accent3" w:themeFillTint="66"/>
          </w:tcPr>
          <w:p w:rsidR="00D475A3" w:rsidRPr="00D475A3" w:rsidRDefault="008B391C">
            <w:pPr>
              <w:cnfStyle w:val="000000100000"/>
              <w:rPr>
                <w:rFonts w:ascii="Calibri"/>
                <w:b/>
              </w:rPr>
            </w:pPr>
            <w:r>
              <w:rPr>
                <w:rFonts w:ascii="Calibri"/>
                <w:b/>
              </w:rPr>
              <w:t>Complete</w:t>
            </w:r>
          </w:p>
        </w:tc>
      </w:tr>
      <w:tr w:rsidR="00D475A3" w:rsidTr="00776454">
        <w:trPr>
          <w:cnfStyle w:val="000000010000"/>
        </w:trPr>
        <w:tc>
          <w:tcPr>
            <w:cnfStyle w:val="001000000000"/>
            <w:tcW w:w="0" w:type="auto"/>
            <w:gridSpan w:val="2"/>
            <w:tcBorders>
              <w:bottom w:val="single" w:sz="8" w:space="0" w:color="7BA0CD" w:themeColor="accent1" w:themeTint="BF"/>
            </w:tcBorders>
          </w:tcPr>
          <w:p w:rsidR="00D475A3" w:rsidRPr="00D475A3" w:rsidRDefault="00D475A3">
            <w:pPr>
              <w:rPr>
                <w:rFonts w:ascii="Calibri"/>
                <w:b w:val="0"/>
              </w:rPr>
            </w:pPr>
            <w:r w:rsidRPr="00D475A3">
              <w:rPr>
                <w:rFonts w:ascii="Calibri"/>
                <w:b w:val="0"/>
              </w:rPr>
              <w:t>Modify or create new database schema for CSS backend. Implement first authentication service contracts. Create blackbox generation and distribution service.</w:t>
            </w:r>
          </w:p>
        </w:tc>
      </w:tr>
      <w:tr w:rsidR="00D475A3" w:rsidRPr="00D475A3" w:rsidTr="00776454">
        <w:trPr>
          <w:cnfStyle w:val="000000100000"/>
        </w:trPr>
        <w:tc>
          <w:tcPr>
            <w:cnfStyle w:val="001000000000"/>
            <w:tcW w:w="0" w:type="auto"/>
            <w:shd w:val="clear" w:color="auto" w:fill="D6E3BC" w:themeFill="accent3" w:themeFillTint="66"/>
          </w:tcPr>
          <w:p w:rsidR="00D475A3" w:rsidRPr="00D475A3" w:rsidRDefault="00D475A3" w:rsidP="00D475A3">
            <w:pPr>
              <w:rPr>
                <w:rFonts w:ascii="Calibri"/>
              </w:rPr>
            </w:pPr>
            <w:r w:rsidRPr="00D475A3">
              <w:rPr>
                <w:rFonts w:ascii="Calibri"/>
              </w:rPr>
              <w:t>Iteration 2 - Client prototype</w:t>
            </w:r>
          </w:p>
        </w:tc>
        <w:tc>
          <w:tcPr>
            <w:tcW w:w="0" w:type="auto"/>
            <w:shd w:val="clear" w:color="auto" w:fill="D6E3BC" w:themeFill="accent3" w:themeFillTint="66"/>
          </w:tcPr>
          <w:p w:rsidR="00D475A3" w:rsidRPr="00D475A3" w:rsidRDefault="00776454" w:rsidP="00511052">
            <w:pPr>
              <w:cnfStyle w:val="000000100000"/>
              <w:rPr>
                <w:rFonts w:ascii="Calibri"/>
                <w:b/>
              </w:rPr>
            </w:pPr>
            <w:r>
              <w:rPr>
                <w:rFonts w:ascii="Calibri"/>
                <w:b/>
              </w:rPr>
              <w:t>Complete</w:t>
            </w:r>
          </w:p>
        </w:tc>
      </w:tr>
      <w:tr w:rsidR="00D475A3" w:rsidTr="00776454">
        <w:trPr>
          <w:cnfStyle w:val="000000010000"/>
        </w:trPr>
        <w:tc>
          <w:tcPr>
            <w:cnfStyle w:val="001000000000"/>
            <w:tcW w:w="0" w:type="auto"/>
            <w:gridSpan w:val="2"/>
            <w:tcBorders>
              <w:top w:val="single" w:sz="4" w:space="0" w:color="auto"/>
              <w:bottom w:val="single" w:sz="8" w:space="0" w:color="7BA0CD" w:themeColor="accent1" w:themeTint="BF"/>
            </w:tcBorders>
          </w:tcPr>
          <w:p w:rsidR="00D475A3" w:rsidRPr="00D475A3" w:rsidRDefault="00D475A3" w:rsidP="00511052">
            <w:pPr>
              <w:rPr>
                <w:rFonts w:ascii="Calibri"/>
                <w:b w:val="0"/>
              </w:rPr>
            </w:pPr>
            <w:r w:rsidRPr="00D475A3">
              <w:rPr>
                <w:rFonts w:ascii="Calibri"/>
                <w:b w:val="0"/>
              </w:rPr>
              <w:t>Create simple client prototype which interacts with services, downloads and loads blackbox, authenticates with server.</w:t>
            </w:r>
          </w:p>
        </w:tc>
      </w:tr>
      <w:tr w:rsidR="00D475A3" w:rsidTr="008B391C">
        <w:trPr>
          <w:cnfStyle w:val="000000100000"/>
        </w:trPr>
        <w:tc>
          <w:tcPr>
            <w:cnfStyle w:val="001000000000"/>
            <w:tcW w:w="0" w:type="auto"/>
            <w:shd w:val="clear" w:color="auto" w:fill="D6E3BC" w:themeFill="accent3" w:themeFillTint="66"/>
          </w:tcPr>
          <w:p w:rsidR="00D475A3" w:rsidRDefault="00D475A3" w:rsidP="00D475A3">
            <w:pPr>
              <w:rPr>
                <w:rFonts w:ascii="Calibri"/>
                <w:b w:val="0"/>
              </w:rPr>
            </w:pPr>
            <w:r>
              <w:rPr>
                <w:rFonts w:ascii="Calibri"/>
              </w:rPr>
              <w:t xml:space="preserve">Iteration 3 </w:t>
            </w:r>
            <w:r w:rsidRPr="00D475A3">
              <w:rPr>
                <w:rFonts w:ascii="Calibri"/>
                <w:b w:val="0"/>
              </w:rPr>
              <w:t xml:space="preserve">- </w:t>
            </w:r>
            <w:r>
              <w:rPr>
                <w:rFonts w:ascii="Calibri"/>
              </w:rPr>
              <w:t>Client security &amp; Allegiance integration</w:t>
            </w:r>
          </w:p>
        </w:tc>
        <w:tc>
          <w:tcPr>
            <w:tcW w:w="0" w:type="auto"/>
            <w:shd w:val="clear" w:color="auto" w:fill="D6E3BC" w:themeFill="accent3" w:themeFillTint="66"/>
          </w:tcPr>
          <w:p w:rsidR="00D475A3" w:rsidRPr="00776454" w:rsidRDefault="008B391C" w:rsidP="00511052">
            <w:pPr>
              <w:cnfStyle w:val="000000100000"/>
              <w:rPr>
                <w:rFonts w:ascii="Calibri"/>
                <w:b/>
                <w:color w:val="FABF8F" w:themeColor="accent6" w:themeTint="99"/>
              </w:rPr>
            </w:pPr>
            <w:r>
              <w:rPr>
                <w:rFonts w:ascii="Calibri"/>
                <w:b/>
              </w:rPr>
              <w:t>Complete</w:t>
            </w:r>
          </w:p>
        </w:tc>
      </w:tr>
      <w:tr w:rsidR="00D475A3" w:rsidTr="00511052">
        <w:trPr>
          <w:cnfStyle w:val="000000010000"/>
        </w:trPr>
        <w:tc>
          <w:tcPr>
            <w:cnfStyle w:val="001000000000"/>
            <w:tcW w:w="0" w:type="auto"/>
            <w:gridSpan w:val="2"/>
          </w:tcPr>
          <w:p w:rsidR="00D475A3" w:rsidRPr="00D475A3" w:rsidRDefault="00D475A3" w:rsidP="00511052">
            <w:pPr>
              <w:rPr>
                <w:rFonts w:ascii="Calibri"/>
                <w:b w:val="0"/>
              </w:rPr>
            </w:pPr>
            <w:r w:rsidRPr="00D475A3">
              <w:rPr>
                <w:rFonts w:ascii="Calibri"/>
                <w:b w:val="0"/>
              </w:rPr>
              <w:t>Implement security into client to assure Allegiance's files cannot be tampered with, validate critical files with server, and attach debugger on Allegiance start. Transmit unique key securely to Allegiance process.</w:t>
            </w:r>
          </w:p>
        </w:tc>
      </w:tr>
      <w:tr w:rsidR="00D475A3" w:rsidTr="008B391C">
        <w:trPr>
          <w:cnfStyle w:val="000000100000"/>
        </w:trPr>
        <w:tc>
          <w:tcPr>
            <w:cnfStyle w:val="001000000000"/>
            <w:tcW w:w="0" w:type="auto"/>
            <w:shd w:val="clear" w:color="auto" w:fill="D6E3BC" w:themeFill="accent3" w:themeFillTint="66"/>
          </w:tcPr>
          <w:p w:rsidR="00D475A3" w:rsidRDefault="00D475A3" w:rsidP="00D475A3">
            <w:pPr>
              <w:rPr>
                <w:rFonts w:ascii="Calibri"/>
                <w:b w:val="0"/>
              </w:rPr>
            </w:pPr>
            <w:r>
              <w:rPr>
                <w:rFonts w:ascii="Calibri"/>
              </w:rPr>
              <w:t xml:space="preserve">Iteration 4 </w:t>
            </w:r>
            <w:r w:rsidRPr="00D475A3">
              <w:rPr>
                <w:rFonts w:ascii="Calibri"/>
                <w:b w:val="0"/>
              </w:rPr>
              <w:t xml:space="preserve">- </w:t>
            </w:r>
            <w:r>
              <w:rPr>
                <w:rFonts w:ascii="Calibri"/>
              </w:rPr>
              <w:t>Server security &amp; Lobby integration</w:t>
            </w:r>
          </w:p>
        </w:tc>
        <w:tc>
          <w:tcPr>
            <w:tcW w:w="0" w:type="auto"/>
            <w:shd w:val="clear" w:color="auto" w:fill="D6E3BC" w:themeFill="accent3" w:themeFillTint="66"/>
          </w:tcPr>
          <w:p w:rsidR="00D475A3" w:rsidRDefault="008B391C" w:rsidP="00511052">
            <w:pPr>
              <w:cnfStyle w:val="000000100000"/>
              <w:rPr>
                <w:rFonts w:ascii="Calibri"/>
                <w:b/>
              </w:rPr>
            </w:pPr>
            <w:r>
              <w:rPr>
                <w:rFonts w:ascii="Calibri"/>
                <w:b/>
              </w:rPr>
              <w:t>Complete</w:t>
            </w:r>
          </w:p>
        </w:tc>
      </w:tr>
      <w:tr w:rsidR="00D475A3" w:rsidTr="00511052">
        <w:trPr>
          <w:cnfStyle w:val="000000010000"/>
        </w:trPr>
        <w:tc>
          <w:tcPr>
            <w:cnfStyle w:val="001000000000"/>
            <w:tcW w:w="0" w:type="auto"/>
            <w:gridSpan w:val="2"/>
          </w:tcPr>
          <w:p w:rsidR="00D475A3" w:rsidRPr="00D475A3" w:rsidRDefault="00D475A3" w:rsidP="00511052">
            <w:pPr>
              <w:rPr>
                <w:rFonts w:ascii="Calibri"/>
                <w:b w:val="0"/>
              </w:rPr>
            </w:pPr>
            <w:r w:rsidRPr="00D475A3">
              <w:rPr>
                <w:rFonts w:ascii="Calibri"/>
                <w:b w:val="0"/>
              </w:rPr>
              <w:t>Implement security into server to assure only authenticated users are allowed in the lobby as well as on servers displayed in the lobby. Ensure services are highly stable.</w:t>
            </w:r>
          </w:p>
        </w:tc>
      </w:tr>
      <w:tr w:rsidR="00D475A3" w:rsidTr="008B391C">
        <w:trPr>
          <w:cnfStyle w:val="000000100000"/>
        </w:trPr>
        <w:tc>
          <w:tcPr>
            <w:cnfStyle w:val="001000000000"/>
            <w:tcW w:w="0" w:type="auto"/>
            <w:shd w:val="clear" w:color="auto" w:fill="F2DBDB" w:themeFill="accent2" w:themeFillTint="33"/>
          </w:tcPr>
          <w:p w:rsidR="00D475A3" w:rsidRDefault="00D475A3" w:rsidP="00D475A3">
            <w:pPr>
              <w:rPr>
                <w:rFonts w:ascii="Calibri"/>
                <w:b w:val="0"/>
              </w:rPr>
            </w:pPr>
            <w:r>
              <w:rPr>
                <w:rFonts w:ascii="Calibri"/>
              </w:rPr>
              <w:t xml:space="preserve">Iteration 5 </w:t>
            </w:r>
            <w:r w:rsidRPr="00D475A3">
              <w:rPr>
                <w:rFonts w:ascii="Calibri"/>
                <w:b w:val="0"/>
              </w:rPr>
              <w:t xml:space="preserve">- </w:t>
            </w:r>
            <w:r>
              <w:rPr>
                <w:rFonts w:ascii="Calibri"/>
              </w:rPr>
              <w:t>Data migration &amp; Client replacement</w:t>
            </w:r>
          </w:p>
        </w:tc>
        <w:tc>
          <w:tcPr>
            <w:tcW w:w="0" w:type="auto"/>
            <w:shd w:val="clear" w:color="auto" w:fill="F2DBDB" w:themeFill="accent2" w:themeFillTint="33"/>
          </w:tcPr>
          <w:p w:rsidR="00D475A3" w:rsidRDefault="008B391C" w:rsidP="00511052">
            <w:pPr>
              <w:cnfStyle w:val="000000100000"/>
              <w:rPr>
                <w:rFonts w:ascii="Calibri"/>
                <w:b/>
              </w:rPr>
            </w:pPr>
            <w:r>
              <w:rPr>
                <w:rFonts w:ascii="Calibri"/>
                <w:b/>
              </w:rPr>
              <w:t>In Progress</w:t>
            </w:r>
          </w:p>
        </w:tc>
      </w:tr>
      <w:tr w:rsidR="00D475A3" w:rsidTr="00511052">
        <w:trPr>
          <w:cnfStyle w:val="000000010000"/>
        </w:trPr>
        <w:tc>
          <w:tcPr>
            <w:cnfStyle w:val="001000000000"/>
            <w:tcW w:w="0" w:type="auto"/>
            <w:gridSpan w:val="2"/>
          </w:tcPr>
          <w:p w:rsidR="00D475A3" w:rsidRPr="00D475A3" w:rsidRDefault="00D475A3" w:rsidP="00511052">
            <w:pPr>
              <w:rPr>
                <w:rFonts w:ascii="Calibri"/>
                <w:b w:val="0"/>
              </w:rPr>
            </w:pPr>
            <w:r w:rsidRPr="00D475A3">
              <w:rPr>
                <w:rFonts w:ascii="Calibri"/>
                <w:b w:val="0"/>
              </w:rPr>
              <w:t>Create migration process to move existing ASGS authentication and stat data to new CSS backend. This migration may have to be run multiple times during test phase and then for final deployment to production. See if it is possible to deploy new client through ASGS Update so no new install is required.</w:t>
            </w:r>
          </w:p>
        </w:tc>
      </w:tr>
      <w:tr w:rsidR="00D475A3" w:rsidTr="00CE5EC7">
        <w:trPr>
          <w:cnfStyle w:val="000000100000"/>
        </w:trPr>
        <w:tc>
          <w:tcPr>
            <w:cnfStyle w:val="001000000000"/>
            <w:tcW w:w="0" w:type="auto"/>
            <w:shd w:val="clear" w:color="auto" w:fill="F2DBDB" w:themeFill="accent2" w:themeFillTint="33"/>
          </w:tcPr>
          <w:p w:rsidR="00D475A3" w:rsidRDefault="00D475A3" w:rsidP="00D475A3">
            <w:pPr>
              <w:rPr>
                <w:rFonts w:ascii="Calibri"/>
                <w:b w:val="0"/>
              </w:rPr>
            </w:pPr>
            <w:r>
              <w:rPr>
                <w:rFonts w:ascii="Calibri"/>
              </w:rPr>
              <w:t xml:space="preserve">Iteration 6 </w:t>
            </w:r>
            <w:r w:rsidRPr="00D475A3">
              <w:rPr>
                <w:rFonts w:ascii="Calibri"/>
                <w:b w:val="0"/>
              </w:rPr>
              <w:t xml:space="preserve">- </w:t>
            </w:r>
            <w:r>
              <w:rPr>
                <w:rFonts w:ascii="Calibri"/>
              </w:rPr>
              <w:t>Administrative and Web Tools</w:t>
            </w:r>
          </w:p>
        </w:tc>
        <w:tc>
          <w:tcPr>
            <w:tcW w:w="0" w:type="auto"/>
            <w:shd w:val="clear" w:color="auto" w:fill="F2DBDB" w:themeFill="accent2" w:themeFillTint="33"/>
          </w:tcPr>
          <w:p w:rsidR="00D475A3" w:rsidRDefault="00CE5EC7" w:rsidP="00511052">
            <w:pPr>
              <w:cnfStyle w:val="000000100000"/>
              <w:rPr>
                <w:rFonts w:ascii="Calibri"/>
                <w:b/>
              </w:rPr>
            </w:pPr>
            <w:r>
              <w:rPr>
                <w:rFonts w:ascii="Calibri"/>
                <w:b/>
              </w:rPr>
              <w:t>In Progress</w:t>
            </w:r>
          </w:p>
        </w:tc>
      </w:tr>
      <w:tr w:rsidR="00D475A3" w:rsidTr="00511052">
        <w:trPr>
          <w:cnfStyle w:val="000000010000"/>
        </w:trPr>
        <w:tc>
          <w:tcPr>
            <w:cnfStyle w:val="001000000000"/>
            <w:tcW w:w="0" w:type="auto"/>
            <w:gridSpan w:val="2"/>
          </w:tcPr>
          <w:p w:rsidR="00D475A3" w:rsidRPr="00D475A3" w:rsidRDefault="00D475A3" w:rsidP="00511052">
            <w:pPr>
              <w:rPr>
                <w:rFonts w:ascii="Calibri"/>
                <w:b w:val="0"/>
              </w:rPr>
            </w:pPr>
            <w:r w:rsidRPr="00D475A3">
              <w:rPr>
                <w:rFonts w:ascii="Calibri"/>
                <w:b w:val="0"/>
              </w:rPr>
              <w:t>Develop new set of administrative tools &amp; web interfaces. Squad listing page, Administration roles list page, Squad management page, User account management (Ability to accept or reject squad membership requests, ability to leave a squad).</w:t>
            </w:r>
          </w:p>
        </w:tc>
      </w:tr>
    </w:tbl>
    <w:p w:rsidR="00D475A3" w:rsidRPr="00D475A3" w:rsidRDefault="00D475A3" w:rsidP="00D475A3">
      <w:pPr>
        <w:pStyle w:val="Heading1"/>
      </w:pPr>
      <w:r>
        <w:t>Testing</w:t>
      </w:r>
    </w:p>
    <w:tbl>
      <w:tblPr>
        <w:tblStyle w:val="MediumShading1-Accent11"/>
        <w:tblW w:w="0" w:type="auto"/>
        <w:tblLook w:val="04A0"/>
      </w:tblPr>
      <w:tblGrid>
        <w:gridCol w:w="6753"/>
        <w:gridCol w:w="2823"/>
      </w:tblGrid>
      <w:tr w:rsidR="00D475A3" w:rsidRPr="00D475A3" w:rsidTr="00511052">
        <w:trPr>
          <w:cnfStyle w:val="100000000000"/>
        </w:trPr>
        <w:tc>
          <w:tcPr>
            <w:cnfStyle w:val="001000000000"/>
            <w:tcW w:w="0" w:type="auto"/>
          </w:tcPr>
          <w:p w:rsidR="00D475A3" w:rsidRPr="00D475A3" w:rsidRDefault="00D475A3" w:rsidP="00511052">
            <w:pPr>
              <w:rPr>
                <w:rFonts w:ascii="Calibri"/>
              </w:rPr>
            </w:pPr>
            <w:r w:rsidRPr="00D475A3">
              <w:rPr>
                <w:rFonts w:ascii="Calibri"/>
              </w:rPr>
              <w:t>Phase</w:t>
            </w:r>
          </w:p>
        </w:tc>
        <w:tc>
          <w:tcPr>
            <w:tcW w:w="0" w:type="auto"/>
          </w:tcPr>
          <w:p w:rsidR="00D475A3" w:rsidRPr="00D475A3" w:rsidRDefault="00D475A3" w:rsidP="00511052">
            <w:pPr>
              <w:cnfStyle w:val="100000000000"/>
              <w:rPr>
                <w:rFonts w:ascii="Calibri"/>
              </w:rPr>
            </w:pPr>
            <w:r>
              <w:rPr>
                <w:rFonts w:ascii="Calibri"/>
              </w:rPr>
              <w:t>Progress</w:t>
            </w:r>
          </w:p>
        </w:tc>
      </w:tr>
      <w:tr w:rsidR="00D475A3" w:rsidTr="00511052">
        <w:trPr>
          <w:cnfStyle w:val="000000100000"/>
        </w:trPr>
        <w:tc>
          <w:tcPr>
            <w:cnfStyle w:val="001000000000"/>
            <w:tcW w:w="0" w:type="auto"/>
          </w:tcPr>
          <w:p w:rsidR="00D475A3" w:rsidRDefault="00D475A3" w:rsidP="00D475A3">
            <w:pPr>
              <w:rPr>
                <w:rFonts w:ascii="Calibri"/>
                <w:b w:val="0"/>
              </w:rPr>
            </w:pPr>
            <w:r>
              <w:rPr>
                <w:rFonts w:ascii="Calibri"/>
              </w:rPr>
              <w:t xml:space="preserve">Phase 1 </w:t>
            </w:r>
            <w:r w:rsidRPr="00D475A3">
              <w:rPr>
                <w:rFonts w:ascii="Calibri"/>
                <w:b w:val="0"/>
              </w:rPr>
              <w:t>- Security testing</w:t>
            </w:r>
          </w:p>
        </w:tc>
        <w:tc>
          <w:tcPr>
            <w:tcW w:w="0" w:type="auto"/>
          </w:tcPr>
          <w:p w:rsidR="00D475A3" w:rsidRPr="00D475A3" w:rsidRDefault="00D475A3" w:rsidP="00511052">
            <w:pPr>
              <w:cnfStyle w:val="000000100000"/>
              <w:rPr>
                <w:rFonts w:ascii="Calibri"/>
                <w:b/>
              </w:rPr>
            </w:pPr>
            <w:r>
              <w:rPr>
                <w:rFonts w:ascii="Calibri"/>
                <w:b/>
              </w:rPr>
              <w:t>Pending</w:t>
            </w:r>
          </w:p>
        </w:tc>
      </w:tr>
      <w:tr w:rsidR="00D475A3" w:rsidTr="00511052">
        <w:trPr>
          <w:cnfStyle w:val="000000010000"/>
        </w:trPr>
        <w:tc>
          <w:tcPr>
            <w:cnfStyle w:val="001000000000"/>
            <w:tcW w:w="0" w:type="auto"/>
            <w:gridSpan w:val="2"/>
          </w:tcPr>
          <w:p w:rsidR="00D475A3" w:rsidRPr="00D475A3" w:rsidRDefault="00D475A3" w:rsidP="00511052">
            <w:pPr>
              <w:rPr>
                <w:rFonts w:ascii="Calibri"/>
                <w:b w:val="0"/>
              </w:rPr>
            </w:pPr>
            <w:r w:rsidRPr="00D475A3">
              <w:rPr>
                <w:rFonts w:ascii="Calibri"/>
                <w:b w:val="0"/>
              </w:rPr>
              <w:t>Try to find holes in the system, try to bypass it.</w:t>
            </w:r>
          </w:p>
        </w:tc>
      </w:tr>
      <w:tr w:rsidR="00D475A3" w:rsidTr="00511052">
        <w:trPr>
          <w:cnfStyle w:val="000000100000"/>
        </w:trPr>
        <w:tc>
          <w:tcPr>
            <w:cnfStyle w:val="001000000000"/>
            <w:tcW w:w="0" w:type="auto"/>
          </w:tcPr>
          <w:p w:rsidR="00D475A3" w:rsidRDefault="00D475A3" w:rsidP="00D475A3">
            <w:pPr>
              <w:rPr>
                <w:rFonts w:ascii="Calibri"/>
                <w:b w:val="0"/>
              </w:rPr>
            </w:pPr>
            <w:r>
              <w:rPr>
                <w:rFonts w:ascii="Calibri"/>
              </w:rPr>
              <w:t xml:space="preserve">Phase 2 </w:t>
            </w:r>
            <w:r w:rsidRPr="00D475A3">
              <w:rPr>
                <w:rFonts w:ascii="Calibri"/>
                <w:b w:val="0"/>
              </w:rPr>
              <w:t>- Beta testing</w:t>
            </w:r>
          </w:p>
        </w:tc>
        <w:tc>
          <w:tcPr>
            <w:tcW w:w="0" w:type="auto"/>
          </w:tcPr>
          <w:p w:rsidR="00D475A3" w:rsidRPr="00D475A3" w:rsidRDefault="00D475A3" w:rsidP="00511052">
            <w:pPr>
              <w:cnfStyle w:val="000000100000"/>
              <w:rPr>
                <w:rFonts w:ascii="Calibri"/>
                <w:b/>
              </w:rPr>
            </w:pPr>
            <w:r>
              <w:rPr>
                <w:rFonts w:ascii="Calibri"/>
                <w:b/>
              </w:rPr>
              <w:t>Pending</w:t>
            </w:r>
          </w:p>
        </w:tc>
      </w:tr>
      <w:tr w:rsidR="00D475A3" w:rsidTr="00511052">
        <w:trPr>
          <w:cnfStyle w:val="000000010000"/>
        </w:trPr>
        <w:tc>
          <w:tcPr>
            <w:cnfStyle w:val="001000000000"/>
            <w:tcW w:w="0" w:type="auto"/>
            <w:gridSpan w:val="2"/>
          </w:tcPr>
          <w:p w:rsidR="00D475A3" w:rsidRPr="00D475A3" w:rsidRDefault="00D475A3" w:rsidP="00511052">
            <w:pPr>
              <w:rPr>
                <w:rFonts w:ascii="Calibri"/>
                <w:b w:val="0"/>
              </w:rPr>
            </w:pPr>
            <w:r w:rsidRPr="00D475A3">
              <w:rPr>
                <w:rFonts w:ascii="Calibri"/>
                <w:b w:val="0"/>
              </w:rPr>
              <w:t>Open up new lobby to (select?) users so that we can test service stability and scalability. Gather scalability benchmarks.</w:t>
            </w:r>
          </w:p>
        </w:tc>
      </w:tr>
      <w:tr w:rsidR="00D475A3" w:rsidTr="00511052">
        <w:trPr>
          <w:cnfStyle w:val="000000100000"/>
        </w:trPr>
        <w:tc>
          <w:tcPr>
            <w:cnfStyle w:val="001000000000"/>
            <w:tcW w:w="0" w:type="auto"/>
          </w:tcPr>
          <w:p w:rsidR="00D475A3" w:rsidRDefault="00D475A3" w:rsidP="00D475A3">
            <w:pPr>
              <w:rPr>
                <w:rFonts w:ascii="Calibri"/>
                <w:b w:val="0"/>
              </w:rPr>
            </w:pPr>
            <w:r>
              <w:rPr>
                <w:rFonts w:ascii="Calibri"/>
              </w:rPr>
              <w:t xml:space="preserve">Phase 3 </w:t>
            </w:r>
            <w:r>
              <w:rPr>
                <w:rFonts w:ascii="Calibri"/>
                <w:b w:val="0"/>
              </w:rPr>
              <w:t>–</w:t>
            </w:r>
            <w:r w:rsidRPr="00D475A3">
              <w:rPr>
                <w:rFonts w:ascii="Calibri"/>
                <w:b w:val="0"/>
              </w:rPr>
              <w:t xml:space="preserve"> </w:t>
            </w:r>
            <w:r>
              <w:rPr>
                <w:rFonts w:ascii="Calibri"/>
                <w:b w:val="0"/>
              </w:rPr>
              <w:t>Open Beta</w:t>
            </w:r>
          </w:p>
        </w:tc>
        <w:tc>
          <w:tcPr>
            <w:tcW w:w="0" w:type="auto"/>
          </w:tcPr>
          <w:p w:rsidR="00D475A3" w:rsidRPr="00D475A3" w:rsidRDefault="00D475A3" w:rsidP="00511052">
            <w:pPr>
              <w:cnfStyle w:val="000000100000"/>
              <w:rPr>
                <w:rFonts w:ascii="Calibri"/>
                <w:b/>
              </w:rPr>
            </w:pPr>
            <w:r>
              <w:rPr>
                <w:rFonts w:ascii="Calibri"/>
                <w:b/>
              </w:rPr>
              <w:t>Pending</w:t>
            </w:r>
          </w:p>
        </w:tc>
      </w:tr>
      <w:tr w:rsidR="00D475A3" w:rsidTr="00511052">
        <w:trPr>
          <w:cnfStyle w:val="000000010000"/>
        </w:trPr>
        <w:tc>
          <w:tcPr>
            <w:cnfStyle w:val="001000000000"/>
            <w:tcW w:w="0" w:type="auto"/>
            <w:gridSpan w:val="2"/>
          </w:tcPr>
          <w:p w:rsidR="00D475A3" w:rsidRPr="00D475A3" w:rsidRDefault="00D475A3" w:rsidP="00D475A3">
            <w:pPr>
              <w:rPr>
                <w:rFonts w:ascii="Calibri"/>
                <w:b w:val="0"/>
              </w:rPr>
            </w:pPr>
            <w:r w:rsidRPr="00D475A3">
              <w:rPr>
                <w:rFonts w:ascii="Calibri"/>
                <w:b w:val="0"/>
              </w:rPr>
              <w:t>Fully replace ASGS. Service and client should be very stable at this point, and only minor bugs should be expected.</w:t>
            </w:r>
          </w:p>
        </w:tc>
      </w:tr>
    </w:tbl>
    <w:p w:rsidR="00D475A3" w:rsidRPr="00D475A3" w:rsidRDefault="00D475A3">
      <w:pPr>
        <w:rPr>
          <w:rFonts w:ascii="Calibri"/>
        </w:rPr>
      </w:pPr>
    </w:p>
    <w:sectPr w:rsidR="00D475A3" w:rsidRPr="00D475A3" w:rsidSect="00682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compat>
    <w:useFELayout/>
  </w:compat>
  <w:rsids>
    <w:rsidRoot w:val="004F3128"/>
    <w:rsid w:val="002113F1"/>
    <w:rsid w:val="003B03D5"/>
    <w:rsid w:val="004C24FC"/>
    <w:rsid w:val="004E0750"/>
    <w:rsid w:val="004F3128"/>
    <w:rsid w:val="006824D7"/>
    <w:rsid w:val="00776454"/>
    <w:rsid w:val="008B391C"/>
    <w:rsid w:val="00CE5EC7"/>
    <w:rsid w:val="00D475A3"/>
    <w:rsid w:val="00F20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4D7"/>
  </w:style>
  <w:style w:type="paragraph" w:styleId="Heading1">
    <w:name w:val="heading 1"/>
    <w:basedOn w:val="Normal"/>
    <w:next w:val="Normal"/>
    <w:link w:val="Heading1Char"/>
    <w:uiPriority w:val="9"/>
    <w:qFormat/>
    <w:rsid w:val="00D47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7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75A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47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475A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D9B70-30D4-48B9-BE94-AB8A69DA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328</Words>
  <Characters>1876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7</cp:revision>
  <dcterms:created xsi:type="dcterms:W3CDTF">2009-08-14T17:31:00Z</dcterms:created>
  <dcterms:modified xsi:type="dcterms:W3CDTF">2009-11-29T19:35:00Z</dcterms:modified>
</cp:coreProperties>
</file>