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0.png" ContentType="image/png"/>
  <Override PartName="/word/media/rId2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8.png" ContentType="image/png"/>
  <Override PartName="/word/media/rId54.png" ContentType="image/png"/>
  <Override PartName="/word/media/rId62.png" ContentType="image/png"/>
  <Override PartName="/word/media/rId70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последовательности действий</w:t>
      </w:r>
    </w:p>
    <w:p>
      <w:pPr>
        <w:numPr>
          <w:ilvl w:val="0"/>
          <w:numId w:val="1001"/>
        </w:numPr>
        <w:pStyle w:val="Compact"/>
      </w:pPr>
      <w:r>
        <w:t xml:space="preserve">Работа с файлами</w:t>
      </w:r>
    </w:p>
    <w:p>
      <w:pPr>
        <w:numPr>
          <w:ilvl w:val="0"/>
          <w:numId w:val="1001"/>
        </w:numPr>
        <w:pStyle w:val="Compact"/>
      </w:pPr>
      <w:r>
        <w:t xml:space="preserve">Поиск по файлам</w:t>
      </w:r>
    </w:p>
    <w:p>
      <w:pPr>
        <w:numPr>
          <w:ilvl w:val="0"/>
          <w:numId w:val="1001"/>
        </w:numPr>
        <w:pStyle w:val="Compact"/>
      </w:pPr>
      <w:r>
        <w:t xml:space="preserve">Перенаправление ввода-вывода</w:t>
      </w:r>
    </w:p>
    <w:p>
      <w:pPr>
        <w:numPr>
          <w:ilvl w:val="0"/>
          <w:numId w:val="1001"/>
        </w:numPr>
        <w:pStyle w:val="Compact"/>
      </w:pPr>
      <w:r>
        <w:t xml:space="preserve">Работа с конвейерами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Сперва-наперво мы осуществили вход в систему под нашим пользователем (рис. 1).</w:t>
      </w:r>
    </w:p>
    <w:p>
      <w:pPr>
        <w:pStyle w:val="CaptionedFigure"/>
      </w:pPr>
      <w:bookmarkStart w:id="25" w:name="fig:001"/>
      <w:r>
        <w:drawing>
          <wp:inline>
            <wp:extent cx="4445000" cy="1028700"/>
            <wp:effectExtent b="0" l="0" r="0" t="0"/>
            <wp:docPr descr="Рис. 1: Осуществление входа в пользователя" title="" id="23" name="Picture"/>
            <a:graphic>
              <a:graphicData uri="http://schemas.openxmlformats.org/drawingml/2006/picture">
                <pic:pic>
                  <pic:nvPicPr>
                    <pic:cNvPr descr="image/s-165166986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Осуществление входа в пользователя</w:t>
      </w:r>
    </w:p>
    <w:p>
      <w:pPr>
        <w:pStyle w:val="BodyText"/>
      </w:pPr>
      <w:r>
        <w:t xml:space="preserve">После этого был выполнен первый шаг, коим являлась запись в файл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названия файлов в директории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(рис. 2). Стоит отметить, что на компьютере, на котором выполнялась лабораторная работа директория по пути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на самом деле является ссылкой на</w:t>
      </w:r>
      <w:r>
        <w:t xml:space="preserve"> </w:t>
      </w:r>
      <w:r>
        <w:rPr>
          <w:rStyle w:val="VerbatimChar"/>
        </w:rPr>
        <w:t xml:space="preserve">/private/etc</w:t>
      </w:r>
      <w:r>
        <w:t xml:space="preserve">, поэтому именно этот путь был использован заместо</w:t>
      </w:r>
      <w:r>
        <w:t xml:space="preserve"> </w:t>
      </w:r>
      <w:r>
        <w:rPr>
          <w:rStyle w:val="VerbatimChar"/>
        </w:rPr>
        <w:t xml:space="preserve">/etc</w:t>
      </w:r>
      <w:r>
        <w:t xml:space="preserve">.</w:t>
      </w:r>
    </w:p>
    <w:p>
      <w:pPr>
        <w:pStyle w:val="CaptionedFigure"/>
      </w:pPr>
      <w:bookmarkStart w:id="29" w:name="fig:002"/>
      <w:r>
        <w:drawing>
          <wp:inline>
            <wp:extent cx="5334000" cy="2728180"/>
            <wp:effectExtent b="0" l="0" r="0" t="0"/>
            <wp:docPr descr="Рис. 2: Запись содержимого каталога /etc (/private/etc) в файл file.txt" title="" id="27" name="Picture"/>
            <a:graphic>
              <a:graphicData uri="http://schemas.openxmlformats.org/drawingml/2006/picture">
                <pic:pic>
                  <pic:nvPicPr>
                    <pic:cNvPr descr="image/s-165167004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Запись содержимого каталога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(</w:t>
      </w:r>
      <w:r>
        <w:rPr>
          <w:rStyle w:val="VerbatimChar"/>
        </w:rPr>
        <w:t xml:space="preserve">/private/etc</w:t>
      </w:r>
      <w:r>
        <w:t xml:space="preserve">) в файл</w:t>
      </w:r>
      <w:r>
        <w:t xml:space="preserve"> </w:t>
      </w:r>
      <w:r>
        <w:rPr>
          <w:rStyle w:val="VerbatimChar"/>
        </w:rPr>
        <w:t xml:space="preserve">file.txt</w:t>
      </w:r>
    </w:p>
    <w:p>
      <w:pPr>
        <w:pStyle w:val="BodyText"/>
      </w:pPr>
      <w:r>
        <w:t xml:space="preserve">Дополнительно к этому также в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было добавлено содержимое домашней директории (рис. 3).</w:t>
      </w:r>
    </w:p>
    <w:p>
      <w:pPr>
        <w:pStyle w:val="CaptionedFigure"/>
      </w:pPr>
      <w:bookmarkStart w:id="33" w:name="fig:003"/>
      <w:r>
        <w:drawing>
          <wp:inline>
            <wp:extent cx="5334000" cy="2728180"/>
            <wp:effectExtent b="0" l="0" r="0" t="0"/>
            <wp:docPr descr="Рис. 3: Дозапись содержимого домашнего каталога в file.txt" title="" id="31" name="Picture"/>
            <a:graphic>
              <a:graphicData uri="http://schemas.openxmlformats.org/drawingml/2006/picture">
                <pic:pic>
                  <pic:nvPicPr>
                    <pic:cNvPr descr="image/s-1651669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Дозапись содержимого домашнего каталога в</w:t>
      </w:r>
      <w:r>
        <w:t xml:space="preserve"> </w:t>
      </w:r>
      <w:r>
        <w:rPr>
          <w:rStyle w:val="VerbatimChar"/>
        </w:rPr>
        <w:t xml:space="preserve">file.txt</w:t>
      </w:r>
    </w:p>
    <w:p>
      <w:pPr>
        <w:pStyle w:val="BodyText"/>
      </w:pPr>
      <w:r>
        <w:t xml:space="preserve">Далее из файла</w:t>
      </w:r>
      <w:r>
        <w:t xml:space="preserve"> </w:t>
      </w:r>
      <w:r>
        <w:rPr>
          <w:rStyle w:val="VerbatimChar"/>
        </w:rPr>
        <w:t xml:space="preserve">file.txt</w:t>
      </w:r>
      <w:r>
        <w:t xml:space="preserve"> </w:t>
      </w:r>
      <w:r>
        <w:t xml:space="preserve">созданного ранее были выведены все файлы с расширением</w:t>
      </w:r>
      <w:r>
        <w:t xml:space="preserve"> </w:t>
      </w:r>
      <w:r>
        <w:rPr>
          <w:rStyle w:val="VerbatimChar"/>
        </w:rPr>
        <w:t xml:space="preserve">.conf</w:t>
      </w:r>
      <w:r>
        <w:t xml:space="preserve">. Этот вывод был также дополнительно записан в отдельный файл</w:t>
      </w:r>
      <w:r>
        <w:t xml:space="preserve"> </w:t>
      </w:r>
      <w:r>
        <w:rPr>
          <w:rStyle w:val="VerbatimChar"/>
        </w:rPr>
        <w:t xml:space="preserve">conf.txt</w:t>
      </w:r>
      <w:r>
        <w:t xml:space="preserve"> </w:t>
      </w:r>
      <w:r>
        <w:t xml:space="preserve">(рис. 4).</w:t>
      </w:r>
    </w:p>
    <w:p>
      <w:pPr>
        <w:pStyle w:val="CaptionedFigure"/>
      </w:pPr>
      <w:bookmarkStart w:id="37" w:name="fig:004"/>
      <w:r>
        <w:drawing>
          <wp:inline>
            <wp:extent cx="5334000" cy="4622497"/>
            <wp:effectExtent b="0" l="0" r="0" t="0"/>
            <wp:docPr descr="Рис. 4: Вывод и запись файлов с расширением .conf" title="" id="35" name="Picture"/>
            <a:graphic>
              <a:graphicData uri="http://schemas.openxmlformats.org/drawingml/2006/picture">
                <pic:pic>
                  <pic:nvPicPr>
                    <pic:cNvPr descr="image/s-165167016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Вывод и запись файлов с расширением</w:t>
      </w:r>
      <w:r>
        <w:t xml:space="preserve"> </w:t>
      </w:r>
      <w:r>
        <w:rPr>
          <w:rStyle w:val="VerbatimChar"/>
        </w:rPr>
        <w:t xml:space="preserve">.conf</w:t>
      </w:r>
    </w:p>
    <w:p>
      <w:pPr>
        <w:pStyle w:val="BodyText"/>
      </w:pPr>
      <w:r>
        <w:t xml:space="preserve">Для того, чтобы определить и вывести все файлы в директории, начинающиеся с буквы</w:t>
      </w:r>
      <w:r>
        <w:t xml:space="preserve"> </w:t>
      </w:r>
      <w:r>
        <w:rPr>
          <w:rStyle w:val="VerbatimChar"/>
        </w:rPr>
        <w:t xml:space="preserve">c</w:t>
      </w:r>
      <w:r>
        <w:t xml:space="preserve">, можно использовать команду</w:t>
      </w:r>
      <w:r>
        <w:t xml:space="preserve"> </w:t>
      </w:r>
      <w:r>
        <w:rPr>
          <w:rStyle w:val="VerbatimChar"/>
        </w:rPr>
        <w:t xml:space="preserve">ls c*</w:t>
      </w:r>
      <w:r>
        <w:t xml:space="preserve">, а также команду</w:t>
      </w:r>
      <w:r>
        <w:t xml:space="preserve"> </w:t>
      </w:r>
      <w:r>
        <w:rPr>
          <w:rStyle w:val="VerbatimChar"/>
        </w:rPr>
        <w:t xml:space="preserve">find . -name "c*"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41" w:name="fig:005"/>
      <w:r>
        <w:drawing>
          <wp:inline>
            <wp:extent cx="5334000" cy="1261920"/>
            <wp:effectExtent b="0" l="0" r="0" t="0"/>
            <wp:docPr descr="Рис. 5: Вывод файлов начинающихся с буквы c" title="" id="39" name="Picture"/>
            <a:graphic>
              <a:graphicData uri="http://schemas.openxmlformats.org/drawingml/2006/picture">
                <pic:pic>
                  <pic:nvPicPr>
                    <pic:cNvPr descr="image/s-165167028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1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Вывод файлов начинающихся с буквы</w:t>
      </w:r>
      <w:r>
        <w:t xml:space="preserve"> </w:t>
      </w:r>
      <w:r>
        <w:rPr>
          <w:rStyle w:val="VerbatimChar"/>
        </w:rPr>
        <w:t xml:space="preserve">c</w:t>
      </w:r>
    </w:p>
    <w:p>
      <w:pPr>
        <w:pStyle w:val="BodyText"/>
      </w:pPr>
      <w:r>
        <w:t xml:space="preserve">Продолжая направление предыдущего задания, было необходимо вывести имена всех файлов из каталога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(</w:t>
      </w:r>
      <w:r>
        <w:rPr>
          <w:rStyle w:val="VerbatimChar"/>
        </w:rPr>
        <w:t xml:space="preserve">/private/etc</w:t>
      </w:r>
      <w:r>
        <w:t xml:space="preserve">), начинающихся с буквы</w:t>
      </w:r>
      <w:r>
        <w:t xml:space="preserve"> </w:t>
      </w:r>
      <w:r>
        <w:rPr>
          <w:rStyle w:val="VerbatimChar"/>
        </w:rPr>
        <w:t xml:space="preserve">h</w:t>
      </w:r>
      <w:r>
        <w:t xml:space="preserve">. Для этого была использована команда</w:t>
      </w:r>
      <w:r>
        <w:t xml:space="preserve"> </w:t>
      </w:r>
      <w:r>
        <w:rPr>
          <w:rStyle w:val="VerbatimChar"/>
        </w:rPr>
        <w:t xml:space="preserve">ls h*</w:t>
      </w:r>
      <w:r>
        <w:t xml:space="preserve"> </w:t>
      </w:r>
      <w:r>
        <w:t xml:space="preserve">(рис. 6).</w:t>
      </w:r>
    </w:p>
    <w:p>
      <w:pPr>
        <w:pStyle w:val="CaptionedFigure"/>
      </w:pPr>
      <w:bookmarkStart w:id="45" w:name="fig:006"/>
      <w:r>
        <w:drawing>
          <wp:inline>
            <wp:extent cx="5334000" cy="1468243"/>
            <wp:effectExtent b="0" l="0" r="0" t="0"/>
            <wp:docPr descr="Рис. 6: Вывод файлов начинающихся с буквы h в директории /etc" title="" id="43" name="Picture"/>
            <a:graphic>
              <a:graphicData uri="http://schemas.openxmlformats.org/drawingml/2006/picture">
                <pic:pic>
                  <pic:nvPicPr>
                    <pic:cNvPr descr="image/s-165167040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Вывод файлов начинающихся с буквы</w:t>
      </w:r>
      <w:r>
        <w:t xml:space="preserve"> </w:t>
      </w:r>
      <w:r>
        <w:rPr>
          <w:rStyle w:val="VerbatimChar"/>
        </w:rPr>
        <w:t xml:space="preserve">h</w:t>
      </w:r>
      <w:r>
        <w:t xml:space="preserve"> </w:t>
      </w:r>
      <w:r>
        <w:t xml:space="preserve">в директории</w:t>
      </w:r>
      <w:r>
        <w:t xml:space="preserve"> </w:t>
      </w:r>
      <w:r>
        <w:rPr>
          <w:rStyle w:val="VerbatimChar"/>
        </w:rPr>
        <w:t xml:space="preserve">/etc</w:t>
      </w:r>
    </w:p>
    <w:p>
      <w:pPr>
        <w:pStyle w:val="BodyText"/>
      </w:pPr>
      <w:r>
        <w:t xml:space="preserve">Следующим заданием был запуск процесса в фоном режиме, который должен был записывать в файл</w:t>
      </w:r>
      <w:r>
        <w:t xml:space="preserve"> </w:t>
      </w:r>
      <w:r>
        <w:rPr>
          <w:rStyle w:val="VerbatimChar"/>
        </w:rPr>
        <w:t xml:space="preserve">~/logfile</w:t>
      </w:r>
      <w:r>
        <w:t xml:space="preserve"> </w:t>
      </w:r>
      <w:r>
        <w:t xml:space="preserve">файлы, имена которых начинаются с log. Сделано это было командой</w:t>
      </w:r>
      <w:r>
        <w:t xml:space="preserve"> </w:t>
      </w:r>
      <w:r>
        <w:rPr>
          <w:rStyle w:val="VerbatimChar"/>
        </w:rPr>
        <w:t xml:space="preserve">find . -name "log*" -print &gt; logfile &amp;</w:t>
      </w:r>
      <w:r>
        <w:t xml:space="preserve"> </w:t>
      </w:r>
      <w:r>
        <w:t xml:space="preserve">(рис. 7).</w:t>
      </w:r>
    </w:p>
    <w:p>
      <w:pPr>
        <w:pStyle w:val="CaptionedFigure"/>
      </w:pPr>
      <w:bookmarkStart w:id="49" w:name="fig:007"/>
      <w:r>
        <w:drawing>
          <wp:inline>
            <wp:extent cx="5334000" cy="3244500"/>
            <wp:effectExtent b="0" l="0" r="0" t="0"/>
            <wp:docPr descr="Рис. 7: Фоновая работа по записи файлов с названием log*" title="" id="47" name="Picture"/>
            <a:graphic>
              <a:graphicData uri="http://schemas.openxmlformats.org/drawingml/2006/picture">
                <pic:pic>
                  <pic:nvPicPr>
                    <pic:cNvPr descr="image/s-165167046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Фоновая работа по записи файлов с названием</w:t>
      </w:r>
      <w:r>
        <w:t xml:space="preserve"> </w:t>
      </w:r>
      <w:r>
        <w:rPr>
          <w:rStyle w:val="VerbatimChar"/>
        </w:rPr>
        <w:t xml:space="preserve">log*</w:t>
      </w:r>
    </w:p>
    <w:p>
      <w:pPr>
        <w:pStyle w:val="BodyText"/>
      </w:pPr>
      <w:r>
        <w:t xml:space="preserve">После окончания работы, было необходимо удалить получившийся файл (рис. 8).</w:t>
      </w:r>
    </w:p>
    <w:p>
      <w:pPr>
        <w:pStyle w:val="CaptionedFigure"/>
      </w:pPr>
      <w:bookmarkStart w:id="53" w:name="fig:008"/>
      <w:r>
        <w:drawing>
          <wp:inline>
            <wp:extent cx="3949700" cy="520700"/>
            <wp:effectExtent b="0" l="0" r="0" t="0"/>
            <wp:docPr descr="Рис. 8: Удаление ~/logfile" title="" id="51" name="Picture"/>
            <a:graphic>
              <a:graphicData uri="http://schemas.openxmlformats.org/drawingml/2006/picture">
                <pic:pic>
                  <pic:nvPicPr>
                    <pic:cNvPr descr="image/s-165167052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Удаление</w:t>
      </w:r>
      <w:r>
        <w:t xml:space="preserve"> </w:t>
      </w:r>
      <w:r>
        <w:rPr>
          <w:rStyle w:val="VerbatimChar"/>
        </w:rPr>
        <w:t xml:space="preserve">~/logfile</w:t>
      </w:r>
    </w:p>
    <w:p>
      <w:pPr>
        <w:pStyle w:val="BodyText"/>
      </w:pPr>
      <w:r>
        <w:t xml:space="preserve">Далее шли задания с фоновыми процессами и работой с ними.</w:t>
      </w:r>
    </w:p>
    <w:p>
      <w:pPr>
        <w:pStyle w:val="BodyText"/>
      </w:pPr>
      <w:r>
        <w:t xml:space="preserve">Было необходимо запустить из консоли в фоновом режиме программу</w:t>
      </w:r>
      <w:r>
        <w:t xml:space="preserve"> </w:t>
      </w:r>
      <w:r>
        <w:rPr>
          <w:iCs/>
          <w:i/>
        </w:rPr>
        <w:t xml:space="preserve">gedit</w:t>
      </w:r>
      <w:r>
        <w:t xml:space="preserve">. Так как ее не было на моем устройстве, она был заменена другой программой, а конкретно</w:t>
      </w:r>
      <w:r>
        <w:t xml:space="preserve"> </w:t>
      </w:r>
      <w:r>
        <w:rPr>
          <w:iCs/>
          <w:i/>
        </w:rPr>
        <w:t xml:space="preserve">VirtualBox</w:t>
      </w:r>
      <w:r>
        <w:t xml:space="preserve">. Запуск производился командой</w:t>
      </w:r>
      <w:r>
        <w:t xml:space="preserve"> </w:t>
      </w:r>
      <w:r>
        <w:rPr>
          <w:rStyle w:val="VerbatimChar"/>
        </w:rPr>
        <w:t xml:space="preserve">VirtualBox &amp;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57" w:name="fig:009"/>
      <w:r>
        <w:drawing>
          <wp:inline>
            <wp:extent cx="4191000" cy="787400"/>
            <wp:effectExtent b="0" l="0" r="0" t="0"/>
            <wp:docPr descr="Рис. 9: Запуск VirtualBox в фоновом режиме" title="" id="55" name="Picture"/>
            <a:graphic>
              <a:graphicData uri="http://schemas.openxmlformats.org/drawingml/2006/picture">
                <pic:pic>
                  <pic:nvPicPr>
                    <pic:cNvPr descr="image/s-165167070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Запуск VirtualBox в фоновом режиме</w:t>
      </w:r>
    </w:p>
    <w:p>
      <w:pPr>
        <w:pStyle w:val="BodyText"/>
      </w:pPr>
      <w:r>
        <w:t xml:space="preserve">Далее нужно было определить идентификатор только что запущенного процесса. Для этого использовалась команда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с конвейером и командой</w:t>
      </w:r>
      <w:r>
        <w:t xml:space="preserve"> </w:t>
      </w:r>
      <w:r>
        <w:rPr>
          <w:rStyle w:val="VerbatimChar"/>
        </w:rPr>
        <w:t xml:space="preserve">grep</w:t>
      </w:r>
      <w:r>
        <w:t xml:space="preserve">. В итоге получилась команда</w:t>
      </w:r>
      <w:r>
        <w:t xml:space="preserve"> </w:t>
      </w:r>
      <w:r>
        <w:rPr>
          <w:rStyle w:val="VerbatimChar"/>
        </w:rPr>
        <w:t xml:space="preserve">ps | grep -i "VirtualBox"</w:t>
      </w:r>
      <w:r>
        <w:t xml:space="preserve"> </w:t>
      </w:r>
      <w:r>
        <w:t xml:space="preserve">(рис. 10). Дополнительными вариантами нахождения идентификатора процесса являются команды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(</w:t>
      </w:r>
      <w:r>
        <w:rPr>
          <w:rStyle w:val="VerbatimChar"/>
        </w:rPr>
        <w:t xml:space="preserve">htop</w:t>
      </w:r>
      <w:r>
        <w:t xml:space="preserve">) и встроенные GUI-утилиты, как, например,</w:t>
      </w:r>
      <w:r>
        <w:t xml:space="preserve"> </w:t>
      </w:r>
      <w:r>
        <w:rPr>
          <w:rStyle w:val="VerbatimChar"/>
        </w:rPr>
        <w:t xml:space="preserve">Activity Monitor</w:t>
      </w:r>
      <w:r>
        <w:t xml:space="preserve"> </w:t>
      </w:r>
      <w:r>
        <w:t xml:space="preserve">на macOS.</w:t>
      </w:r>
    </w:p>
    <w:p>
      <w:pPr>
        <w:pStyle w:val="CaptionedFigure"/>
      </w:pPr>
      <w:bookmarkStart w:id="61" w:name="fig:010"/>
      <w:r>
        <w:drawing>
          <wp:inline>
            <wp:extent cx="5334000" cy="519148"/>
            <wp:effectExtent b="0" l="0" r="0" t="0"/>
            <wp:docPr descr="Рис. 10: Нахождение идентификатора процесса" title="" id="59" name="Picture"/>
            <a:graphic>
              <a:graphicData uri="http://schemas.openxmlformats.org/drawingml/2006/picture">
                <pic:pic>
                  <pic:nvPicPr>
                    <pic:cNvPr descr="image/s-165167064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Нахождение идентификатора процесса</w:t>
      </w:r>
    </w:p>
    <w:p>
      <w:pPr>
        <w:pStyle w:val="BodyText"/>
      </w:pPr>
      <w:r>
        <w:t xml:space="preserve">Дальнейшим шагом было завершение запущенного процесса командой</w:t>
      </w:r>
      <w:r>
        <w:t xml:space="preserve"> </w:t>
      </w:r>
      <w:r>
        <w:rPr>
          <w:rStyle w:val="VerbatimChar"/>
        </w:rPr>
        <w:t xml:space="preserve">kill</w:t>
      </w:r>
      <w:r>
        <w:t xml:space="preserve">. Для этого был изучен соответствующий мануал (</w:t>
      </w:r>
      <w:r>
        <w:rPr>
          <w:rStyle w:val="VerbatimChar"/>
        </w:rPr>
        <w:t xml:space="preserve">man kill</w:t>
      </w:r>
      <w:r>
        <w:t xml:space="preserve">). Результирующей командой с использованием полученного ранее идентификатора процесса было</w:t>
      </w:r>
      <w:r>
        <w:t xml:space="preserve"> </w:t>
      </w:r>
      <w:r>
        <w:rPr>
          <w:rStyle w:val="VerbatimChar"/>
        </w:rPr>
        <w:t xml:space="preserve">kill -9 127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5" w:name="fig:011"/>
      <w:r>
        <w:drawing>
          <wp:inline>
            <wp:extent cx="3949700" cy="584200"/>
            <wp:effectExtent b="0" l="0" r="0" t="0"/>
            <wp:docPr descr="Рис. 11: Завершение процесса" title="" id="63" name="Picture"/>
            <a:graphic>
              <a:graphicData uri="http://schemas.openxmlformats.org/drawingml/2006/picture">
                <pic:pic>
                  <pic:nvPicPr>
                    <pic:cNvPr descr="image/s-165167076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Завершение процесса</w:t>
      </w:r>
    </w:p>
    <w:p>
      <w:pPr>
        <w:pStyle w:val="BodyText"/>
      </w:pPr>
      <w:r>
        <w:t xml:space="preserve">Далее мы ознакомились с командами</w:t>
      </w:r>
      <w:r>
        <w:t xml:space="preserve"> </w:t>
      </w:r>
      <w:r>
        <w:rPr>
          <w:rStyle w:val="VerbatimChar"/>
        </w:rPr>
        <w:t xml:space="preserve">df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du</w:t>
      </w:r>
      <w:r>
        <w:t xml:space="preserve"> </w:t>
      </w:r>
      <w:r>
        <w:t xml:space="preserve">изучив мануал по обеим командам и выполнив их (рис. 12).</w:t>
      </w:r>
    </w:p>
    <w:p>
      <w:pPr>
        <w:pStyle w:val="CaptionedFigure"/>
      </w:pPr>
      <w:bookmarkStart w:id="69" w:name="fig:012"/>
      <w:r>
        <w:drawing>
          <wp:inline>
            <wp:extent cx="5334000" cy="3675338"/>
            <wp:effectExtent b="0" l="0" r="0" t="0"/>
            <wp:docPr descr="Рис. 12: Изучение мануала и использование команд df, du" title="" id="67" name="Picture"/>
            <a:graphic>
              <a:graphicData uri="http://schemas.openxmlformats.org/drawingml/2006/picture">
                <pic:pic>
                  <pic:nvPicPr>
                    <pic:cNvPr descr="image/s-165167088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Изучение мануала и использование команд</w:t>
      </w:r>
      <w:r>
        <w:t xml:space="preserve"> </w:t>
      </w:r>
      <w:r>
        <w:rPr>
          <w:rStyle w:val="VerbatimChar"/>
        </w:rPr>
        <w:t xml:space="preserve">df</w:t>
      </w:r>
      <w:r>
        <w:t xml:space="preserve">,</w:t>
      </w:r>
      <w:r>
        <w:t xml:space="preserve"> </w:t>
      </w:r>
      <w:r>
        <w:rPr>
          <w:rStyle w:val="VerbatimChar"/>
        </w:rPr>
        <w:t xml:space="preserve">du</w:t>
      </w:r>
    </w:p>
    <w:p>
      <w:pPr>
        <w:pStyle w:val="BodyText"/>
      </w:pPr>
      <w:r>
        <w:t xml:space="preserve">Последним заданием было изучение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(</w:t>
      </w:r>
      <w:r>
        <w:rPr>
          <w:rStyle w:val="VerbatimChar"/>
        </w:rPr>
        <w:t xml:space="preserve">man find</w:t>
      </w:r>
      <w:r>
        <w:t xml:space="preserve">) и использование ее параметров для вывода всех директорий в домашнем каталоге (рис. 13).</w:t>
      </w:r>
    </w:p>
    <w:p>
      <w:pPr>
        <w:pStyle w:val="CaptionedFigure"/>
      </w:pPr>
      <w:bookmarkStart w:id="73" w:name="fig:013"/>
      <w:r>
        <w:drawing>
          <wp:inline>
            <wp:extent cx="3987800" cy="4419600"/>
            <wp:effectExtent b="0" l="0" r="0" t="0"/>
            <wp:docPr descr="Рис. 13: Изучение мануала и использование команды find для вывода всех директорий в домашнем каталоге" title="" id="71" name="Picture"/>
            <a:graphic>
              <a:graphicData uri="http://schemas.openxmlformats.org/drawingml/2006/picture">
                <pic:pic>
                  <pic:nvPicPr>
                    <pic:cNvPr descr="image/s-165167082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Изучение мануала и использование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для вывода всех директорий в домашнем каталоге</w:t>
      </w:r>
    </w:p>
    <w:p>
      <w:pPr>
        <w:pStyle w:val="BlockText"/>
      </w:pPr>
      <w:r>
        <w:t xml:space="preserve">В конце стоит подвести, что в работе было использовано понятие файла, как обобщенное понятие, поэтому во всех заданиях с требованиями нахождения файлов, они не были классифицированы отдельно. При необходимости соблюдения условий строгой классификации, достаточно добавить в каждую команду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флаг</w:t>
      </w:r>
      <w:r>
        <w:t xml:space="preserve"> </w:t>
      </w:r>
      <w:r>
        <w:rPr>
          <w:rStyle w:val="VerbatimChar"/>
        </w:rPr>
        <w:t xml:space="preserve">-type f</w:t>
      </w:r>
      <w:r>
        <w:t xml:space="preserve">.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выполнении лабораторной работы, мы познакомились с инструментами поиска файлов и фильтрации текстовых данных. Также приобрели практические навыки по управлению процессами, проверке использования диска и обслуживанию файловых систем.</w:t>
      </w:r>
    </w:p>
    <w:bookmarkEnd w:id="75"/>
    <w:bookmarkStart w:id="7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По умолчанию в системе открыто три потока:</w:t>
      </w:r>
    </w:p>
    <w:p>
      <w:pPr>
        <w:numPr>
          <w:ilvl w:val="1"/>
          <w:numId w:val="1003"/>
        </w:numPr>
        <w:pStyle w:val="Compact"/>
      </w:pPr>
      <w:r>
        <w:t xml:space="preserve">stdin – стандартный поток ввода</w:t>
      </w:r>
    </w:p>
    <w:p>
      <w:pPr>
        <w:numPr>
          <w:ilvl w:val="1"/>
          <w:numId w:val="1003"/>
        </w:numPr>
        <w:pStyle w:val="Compact"/>
      </w:pPr>
      <w:r>
        <w:t xml:space="preserve">stdout – стандартный поток вывода</w:t>
      </w:r>
    </w:p>
    <w:p>
      <w:pPr>
        <w:numPr>
          <w:ilvl w:val="1"/>
          <w:numId w:val="1003"/>
        </w:numPr>
        <w:pStyle w:val="Compact"/>
      </w:pPr>
      <w:r>
        <w:t xml:space="preserve">stderr – стандартный поток вывода сообщений об ошибках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&gt;</w:t>
      </w:r>
      <w:r>
        <w:t xml:space="preserve"> </w:t>
      </w:r>
      <w:r>
        <w:t xml:space="preserve">– открывает файл в режиме перезаписывания данных (новые данные перезапишут старые данные содержащиеся в файле)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&gt;&gt;</w:t>
      </w:r>
      <w:r>
        <w:t xml:space="preserve"> </w:t>
      </w:r>
      <w:r>
        <w:t xml:space="preserve">– открывает файл в режиме добавления данных (новые данные будут добавлены в конце файла)</w:t>
      </w:r>
    </w:p>
    <w:p>
      <w:pPr>
        <w:numPr>
          <w:ilvl w:val="0"/>
          <w:numId w:val="1002"/>
        </w:numPr>
      </w:pPr>
      <w:r>
        <w:t xml:space="preserve">Конвейер – это инструмент</w:t>
      </w:r>
      <w:r>
        <w:t xml:space="preserve"> </w:t>
      </w:r>
      <w:r>
        <w:t xml:space="preserve">“</w:t>
      </w:r>
      <w:r>
        <w:t xml:space="preserve">связывания</w:t>
      </w:r>
      <w:r>
        <w:t xml:space="preserve">”</w:t>
      </w:r>
      <w:r>
        <w:t xml:space="preserve"> </w:t>
      </w:r>
      <w:r>
        <w:t xml:space="preserve">команд и объединения их в цепочки, в которых вывод одной команды перенаправляется в следующую и т.д.</w:t>
      </w:r>
    </w:p>
    <w:p>
      <w:pPr>
        <w:numPr>
          <w:ilvl w:val="0"/>
          <w:numId w:val="1002"/>
        </w:numPr>
      </w:pPr>
      <w:r>
        <w:t xml:space="preserve">Процесс – это абстракция совокупности взаимосвязанных системных ресурсов. Отличие процесса от программы в том, что процесс – это то, что запускает программа, которая чаще всего является исполнительным файлом.</w:t>
      </w:r>
    </w:p>
    <w:p>
      <w:pPr>
        <w:numPr>
          <w:ilvl w:val="0"/>
          <w:numId w:val="1002"/>
        </w:numPr>
      </w:pPr>
      <w:r>
        <w:t xml:space="preserve">PID – Process ID (идентификатор процесса)</w:t>
      </w:r>
    </w:p>
    <w:p>
      <w:pPr>
        <w:numPr>
          <w:ilvl w:val="0"/>
          <w:numId w:val="1000"/>
        </w:numPr>
      </w:pPr>
      <w:r>
        <w:t xml:space="preserve">GID – Group ID (идентификатор группа, под которой запущен процесс)</w:t>
      </w:r>
    </w:p>
    <w:p>
      <w:pPr>
        <w:numPr>
          <w:ilvl w:val="0"/>
          <w:numId w:val="1002"/>
        </w:numPr>
      </w:pPr>
      <w:r>
        <w:t xml:space="preserve">Задачи – это запущенные фоном программы. Ими можно управлять командой</w:t>
      </w:r>
      <w:r>
        <w:t xml:space="preserve"> </w:t>
      </w:r>
      <w:r>
        <w:rPr>
          <w:rStyle w:val="VerbatimChar"/>
        </w:rPr>
        <w:t xml:space="preserve">jobs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Функции их идентичны и заключаются в менеджменте запущенных в системе процессов. Разница двух утилит заключается в</w:t>
      </w:r>
      <w:r>
        <w:t xml:space="preserve"> </w:t>
      </w:r>
      <w:r>
        <w:t xml:space="preserve">“</w:t>
      </w:r>
      <w:r>
        <w:t xml:space="preserve">новизне</w:t>
      </w:r>
      <w:r>
        <w:t xml:space="preserve">”</w:t>
      </w:r>
      <w:r>
        <w:t xml:space="preserve"> </w:t>
      </w:r>
      <w:r>
        <w:t xml:space="preserve">и поддерживаемости.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являются более новой и улучшенной версией</w:t>
      </w:r>
      <w:r>
        <w:t xml:space="preserve"> </w:t>
      </w:r>
      <w:r>
        <w:rPr>
          <w:rStyle w:val="VerbatimChar"/>
        </w:rPr>
        <w:t xml:space="preserve">top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являются командой по поиску файлов, директорий и других типов вхождений. Она позволяет искать вхождения по шаблону в указанных директориях. Также имеет дополнительные параметры для более тонкой настройки. Примеры: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find . -name "*.txt"</w:t>
      </w:r>
      <w:r>
        <w:t xml:space="preserve"> </w:t>
      </w:r>
      <w:r>
        <w:t xml:space="preserve">– ищет все файлы (</w:t>
      </w:r>
      <w:r>
        <w:rPr>
          <w:bCs/>
          <w:b/>
        </w:rPr>
        <w:t xml:space="preserve">и другие типы вхождений</w:t>
      </w:r>
      <w:r>
        <w:t xml:space="preserve">) с</w:t>
      </w:r>
      <w:r>
        <w:t xml:space="preserve"> </w:t>
      </w:r>
      <w:r>
        <w:rPr>
          <w:rStyle w:val="VerbatimChar"/>
        </w:rPr>
        <w:t xml:space="preserve">.txt</w:t>
      </w:r>
      <w:r>
        <w:t xml:space="preserve"> </w:t>
      </w:r>
      <w:r>
        <w:t xml:space="preserve">в конце названия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find . -name "*.txt" -type f</w:t>
      </w:r>
      <w:r>
        <w:t xml:space="preserve"> </w:t>
      </w:r>
      <w:r>
        <w:t xml:space="preserve">– ищет все файлы (</w:t>
      </w:r>
      <w:r>
        <w:rPr>
          <w:bCs/>
          <w:b/>
        </w:rPr>
        <w:t xml:space="preserve">и только файлы</w:t>
      </w:r>
      <w:r>
        <w:t xml:space="preserve">) с</w:t>
      </w:r>
      <w:r>
        <w:t xml:space="preserve"> </w:t>
      </w:r>
      <w:r>
        <w:rPr>
          <w:rStyle w:val="VerbatimChar"/>
        </w:rPr>
        <w:t xml:space="preserve">.txt</w:t>
      </w:r>
      <w:r>
        <w:t xml:space="preserve"> </w:t>
      </w:r>
      <w:r>
        <w:t xml:space="preserve">в конце названия</w:t>
      </w:r>
    </w:p>
    <w:p>
      <w:pPr>
        <w:numPr>
          <w:ilvl w:val="0"/>
          <w:numId w:val="1002"/>
        </w:numPr>
      </w:pPr>
      <w:r>
        <w:t xml:space="preserve">Одна из команд, которую можно использовать для нахождения файлов по содержанию является команда</w:t>
      </w:r>
      <w:r>
        <w:t xml:space="preserve"> </w:t>
      </w:r>
      <w:r>
        <w:rPr>
          <w:rStyle w:val="VerbatimChar"/>
        </w:rPr>
        <w:t xml:space="preserve">grep</w:t>
      </w:r>
      <w:r>
        <w:t xml:space="preserve">. Пример:</w:t>
      </w:r>
      <w:r>
        <w:t xml:space="preserve"> </w:t>
      </w:r>
      <w:r>
        <w:rPr>
          <w:rStyle w:val="VerbatimChar"/>
        </w:rPr>
        <w:t xml:space="preserve">grep -rnw '/home/sakochkarev' -e 'hello world'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Можно использовать команду</w:t>
      </w:r>
      <w:r>
        <w:t xml:space="preserve"> </w:t>
      </w:r>
      <w:r>
        <w:rPr>
          <w:rStyle w:val="VerbatimChar"/>
        </w:rPr>
        <w:t xml:space="preserve">df -h</w:t>
      </w:r>
      <w:r>
        <w:t xml:space="preserve"> </w:t>
      </w:r>
      <w:r>
        <w:t xml:space="preserve">для определения дисков и свободного места на них. Если диск разделен на несколько разделов, то можно суммировать свободное место в каждом из них и получить общее свободное место на диске. А можно просто использовать встроенный GUI дисковый менеджер.</w:t>
      </w:r>
    </w:p>
    <w:p>
      <w:pPr>
        <w:numPr>
          <w:ilvl w:val="0"/>
          <w:numId w:val="1002"/>
        </w:numPr>
      </w:pPr>
      <w:r>
        <w:t xml:space="preserve">Находясь в домашнем каталоге использовать команду</w:t>
      </w:r>
      <w:r>
        <w:t xml:space="preserve"> </w:t>
      </w:r>
      <w:r>
        <w:rPr>
          <w:rStyle w:val="VerbatimChar"/>
        </w:rPr>
        <w:t xml:space="preserve">du -sh</w:t>
      </w:r>
      <w:r>
        <w:t xml:space="preserve">, либо находясь вне домашнего каталога использовать</w:t>
      </w:r>
      <w:r>
        <w:t xml:space="preserve"> </w:t>
      </w:r>
      <w:r>
        <w:rPr>
          <w:rStyle w:val="VerbatimChar"/>
        </w:rPr>
        <w:t xml:space="preserve">du -sh ~</w:t>
      </w:r>
      <w:r>
        <w:t xml:space="preserve">. Флаг</w:t>
      </w:r>
      <w:r>
        <w:t xml:space="preserve"> </w:t>
      </w:r>
      <w:r>
        <w:rPr>
          <w:rStyle w:val="VerbatimChar"/>
        </w:rPr>
        <w:t xml:space="preserve">-s</w:t>
      </w:r>
      <w:r>
        <w:t xml:space="preserve"> </w:t>
      </w:r>
      <w:r>
        <w:t xml:space="preserve">суммирует объем всех вложенных файлов и директорий, получая общий объем, а</w:t>
      </w:r>
      <w:r>
        <w:t xml:space="preserve"> </w:t>
      </w:r>
      <w:r>
        <w:rPr>
          <w:rStyle w:val="VerbatimChar"/>
        </w:rPr>
        <w:t xml:space="preserve">-h</w:t>
      </w:r>
      <w:r>
        <w:t xml:space="preserve"> </w:t>
      </w:r>
      <w:r>
        <w:t xml:space="preserve">просто делает объем более понятным благодаря преобразованию байтов в ближайшее деление (КБ, МБ, ГБ и т.д.).</w:t>
      </w:r>
    </w:p>
    <w:p>
      <w:pPr>
        <w:numPr>
          <w:ilvl w:val="0"/>
          <w:numId w:val="1002"/>
        </w:numPr>
      </w:pPr>
      <w:r>
        <w:t xml:space="preserve">Самый простой способ – используя встроенный менеджер процессов. Например</w:t>
      </w:r>
      <w:r>
        <w:t xml:space="preserve"> </w:t>
      </w:r>
      <w:r>
        <w:rPr>
          <w:rStyle w:val="VerbatimChar"/>
        </w:rPr>
        <w:t xml:space="preserve">htop</w:t>
      </w:r>
      <w:r>
        <w:t xml:space="preserve">. Найдя зависший процесс в списке отправить сигнал</w:t>
      </w:r>
      <w:r>
        <w:t xml:space="preserve"> </w:t>
      </w:r>
      <w:r>
        <w:rPr>
          <w:rStyle w:val="VerbatimChar"/>
        </w:rPr>
        <w:t xml:space="preserve">SIGTERM</w:t>
      </w:r>
      <w:r>
        <w:t xml:space="preserve">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Кочкарев “sakochkarev” Станислав</dc:creator>
  <dc:language>ru-RU</dc:language>
  <cp:keywords/>
  <dcterms:created xsi:type="dcterms:W3CDTF">2022-05-04T14:47:22Z</dcterms:created>
  <dcterms:modified xsi:type="dcterms:W3CDTF">2022-05-04T14:47:22Z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Поиск файлов. Перенаправление ввода-вывода. Просмотр запущенных процессов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