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теоретическим материалом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редактором emacs</w:t>
      </w:r>
    </w:p>
    <w:p>
      <w:pPr>
        <w:numPr>
          <w:ilvl w:val="0"/>
          <w:numId w:val="1001"/>
        </w:numPr>
        <w:pStyle w:val="Compact"/>
      </w:pPr>
      <w:r>
        <w:t xml:space="preserve">Выполнение упражнений с редактором emacs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Предварительно был установлен текстовый редактор emacs.</w:t>
      </w:r>
    </w:p>
    <w:p>
      <w:pPr>
        <w:pStyle w:val="BodyText"/>
      </w:pPr>
      <w:r>
        <w:t xml:space="preserve">Первым делом были изучены теоретические материалы и было произведено ознакомление с редактором emacs. После этого мы перешли к выполнению упражнений.</w:t>
      </w:r>
    </w:p>
    <w:p>
      <w:pPr>
        <w:pStyle w:val="BodyText"/>
      </w:pPr>
      <w:r>
        <w:t xml:space="preserve">Сперва-наперво мы открыли сам редактор emacs (рис. 1).</w:t>
      </w:r>
    </w:p>
    <w:p>
      <w:pPr>
        <w:pStyle w:val="CaptionedFigure"/>
      </w:pPr>
      <w:bookmarkStart w:id="25" w:name="fig:001"/>
      <w:r>
        <w:drawing>
          <wp:inline>
            <wp:extent cx="5334000" cy="3798794"/>
            <wp:effectExtent b="0" l="0" r="0" t="0"/>
            <wp:docPr descr="Рис. 1: Открытый редактор emacs" title="" id="23" name="Picture"/>
            <a:graphic>
              <a:graphicData uri="http://schemas.openxmlformats.org/drawingml/2006/picture">
                <pic:pic>
                  <pic:nvPicPr>
                    <pic:cNvPr descr="image/s-165270055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Открытый редактор emacs</w:t>
      </w:r>
    </w:p>
    <w:p>
      <w:pPr>
        <w:pStyle w:val="BodyText"/>
      </w:pPr>
      <w:r>
        <w:t xml:space="preserve">Далее был создан файл</w:t>
      </w:r>
      <w:r>
        <w:t xml:space="preserve"> </w:t>
      </w:r>
      <w:r>
        <w:rPr>
          <w:rStyle w:val="VerbatimChar"/>
        </w:rPr>
        <w:t xml:space="preserve">lab07.sh</w:t>
      </w:r>
      <w:r>
        <w:t xml:space="preserve"> </w:t>
      </w:r>
      <w:r>
        <w:t xml:space="preserve">с помощью приведенной комбинации клавиш (рис. 2).</w:t>
      </w:r>
    </w:p>
    <w:p>
      <w:pPr>
        <w:pStyle w:val="CaptionedFigure"/>
      </w:pPr>
      <w:bookmarkStart w:id="29" w:name="fig:002"/>
      <w:r>
        <w:drawing>
          <wp:inline>
            <wp:extent cx="5334000" cy="3365500"/>
            <wp:effectExtent b="0" l="0" r="0" t="0"/>
            <wp:docPr descr="Рис. 2: Открытый новосозданный файл lab07.sh" title="" id="27" name="Picture"/>
            <a:graphic>
              <a:graphicData uri="http://schemas.openxmlformats.org/drawingml/2006/picture">
                <pic:pic>
                  <pic:nvPicPr>
                    <pic:cNvPr descr="image/s-1652700745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Открытый новосозданный файл</w:t>
      </w:r>
      <w:r>
        <w:t xml:space="preserve"> </w:t>
      </w:r>
      <w:r>
        <w:rPr>
          <w:rStyle w:val="VerbatimChar"/>
        </w:rPr>
        <w:t xml:space="preserve">lab07.sh</w:t>
      </w:r>
    </w:p>
    <w:p>
      <w:pPr>
        <w:pStyle w:val="BodyText"/>
      </w:pPr>
      <w:r>
        <w:t xml:space="preserve">После этого в открытом файле был написан приведенный текст (рис. 3).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rPr>
          <w:rStyle w:val="VariableTok"/>
        </w:rPr>
        <w:t xml:space="preserve">HELL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Hello</w:t>
      </w:r>
      <w:r>
        <w:br/>
      </w:r>
      <w:r>
        <w:rPr>
          <w:rStyle w:val="KeywordTok"/>
        </w:rPr>
        <w:t xml:space="preserve">function</w:t>
      </w:r>
      <w:r>
        <w:rPr>
          <w:rStyle w:val="FunctionTok"/>
        </w:rPr>
        <w:t xml:space="preserve"> hello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LOCAL</w:t>
      </w:r>
      <w:r>
        <w:rPr>
          <w:rStyle w:val="NormalTok"/>
        </w:rPr>
        <w:t xml:space="preserve"> HELLO=World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}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ExtensionTok"/>
        </w:rPr>
        <w:t xml:space="preserve">hello</w:t>
      </w:r>
    </w:p>
    <w:p>
      <w:pPr>
        <w:pStyle w:val="CaptionedFigure"/>
      </w:pPr>
      <w:bookmarkStart w:id="33" w:name="fig:003"/>
      <w:r>
        <w:drawing>
          <wp:inline>
            <wp:extent cx="5334000" cy="3365500"/>
            <wp:effectExtent b="0" l="0" r="0" t="0"/>
            <wp:docPr descr="Рис. 3: Файл с записанным текстом" title="" id="31" name="Picture"/>
            <a:graphic>
              <a:graphicData uri="http://schemas.openxmlformats.org/drawingml/2006/picture">
                <pic:pic>
                  <pic:nvPicPr>
                    <pic:cNvPr descr="image/s-1652700858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Файл с записанным текстом</w:t>
      </w:r>
    </w:p>
    <w:p>
      <w:pPr>
        <w:pStyle w:val="BodyText"/>
      </w:pPr>
      <w:r>
        <w:t xml:space="preserve">По окончании записи файла мы сохранили его с помощью комбинации клавиш (рис. 4).</w:t>
      </w:r>
    </w:p>
    <w:p>
      <w:pPr>
        <w:pStyle w:val="CaptionedFigure"/>
      </w:pPr>
      <w:bookmarkStart w:id="37" w:name="fig:004"/>
      <w:r>
        <w:drawing>
          <wp:inline>
            <wp:extent cx="4838700" cy="431800"/>
            <wp:effectExtent b="0" l="0" r="0" t="0"/>
            <wp:docPr descr="Рис. 4: Сохранение файла" title="" id="35" name="Picture"/>
            <a:graphic>
              <a:graphicData uri="http://schemas.openxmlformats.org/drawingml/2006/picture">
                <pic:pic>
                  <pic:nvPicPr>
                    <pic:cNvPr descr="image/s-165270094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Сохранение файла</w:t>
      </w:r>
    </w:p>
    <w:p>
      <w:pPr>
        <w:pStyle w:val="BodyText"/>
      </w:pPr>
      <w:r>
        <w:t xml:space="preserve">Далее шли упражнения по стандартным процедурам редактирования.</w:t>
      </w:r>
    </w:p>
    <w:p>
      <w:pPr>
        <w:pStyle w:val="BodyText"/>
      </w:pPr>
      <w:r>
        <w:t xml:space="preserve">Мы вырезали одной командной целую строку (рис. 5) и вставили ее в конец файла (рис. 6).</w:t>
      </w:r>
    </w:p>
    <w:p>
      <w:pPr>
        <w:pStyle w:val="CaptionedFigure"/>
      </w:pPr>
      <w:bookmarkStart w:id="41" w:name="fig:005"/>
      <w:r>
        <w:drawing>
          <wp:inline>
            <wp:extent cx="5334000" cy="3365500"/>
            <wp:effectExtent b="0" l="0" r="0" t="0"/>
            <wp:docPr descr="Рис. 5: Вырезание строки" title="" id="39" name="Picture"/>
            <a:graphic>
              <a:graphicData uri="http://schemas.openxmlformats.org/drawingml/2006/picture">
                <pic:pic>
                  <pic:nvPicPr>
                    <pic:cNvPr descr="image/s-165270101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Вырезание строки</w:t>
      </w:r>
    </w:p>
    <w:p>
      <w:pPr>
        <w:pStyle w:val="CaptionedFigure"/>
      </w:pPr>
      <w:bookmarkStart w:id="45" w:name="fig:006"/>
      <w:r>
        <w:drawing>
          <wp:inline>
            <wp:extent cx="5334000" cy="3365500"/>
            <wp:effectExtent b="0" l="0" r="0" t="0"/>
            <wp:docPr descr="Рис. 6: Вставка вырезанной строки в конец файла" title="" id="43" name="Picture"/>
            <a:graphic>
              <a:graphicData uri="http://schemas.openxmlformats.org/drawingml/2006/picture">
                <pic:pic>
                  <pic:nvPicPr>
                    <pic:cNvPr descr="image/s-165270107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Вставка вырезанной строки в конец файла</w:t>
      </w:r>
    </w:p>
    <w:p>
      <w:pPr>
        <w:pStyle w:val="BodyText"/>
      </w:pPr>
      <w:r>
        <w:t xml:space="preserve">После мы выделили область текста (рис. 7), скопировали эту область в буфер обмена и вставили ее в конец файла (рис. 8).</w:t>
      </w:r>
    </w:p>
    <w:p>
      <w:pPr>
        <w:pStyle w:val="CaptionedFigure"/>
      </w:pPr>
      <w:bookmarkStart w:id="49" w:name="fig:007"/>
      <w:r>
        <w:drawing>
          <wp:inline>
            <wp:extent cx="5334000" cy="3365500"/>
            <wp:effectExtent b="0" l="0" r="0" t="0"/>
            <wp:docPr descr="Рис. 7: Выделение области текста" title="" id="47" name="Picture"/>
            <a:graphic>
              <a:graphicData uri="http://schemas.openxmlformats.org/drawingml/2006/picture">
                <pic:pic>
                  <pic:nvPicPr>
                    <pic:cNvPr descr="image/s-165270116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Выделение области текста</w:t>
      </w:r>
    </w:p>
    <w:p>
      <w:pPr>
        <w:pStyle w:val="CaptionedFigure"/>
      </w:pPr>
      <w:bookmarkStart w:id="53" w:name="fig:008"/>
      <w:r>
        <w:drawing>
          <wp:inline>
            <wp:extent cx="5334000" cy="3365500"/>
            <wp:effectExtent b="0" l="0" r="0" t="0"/>
            <wp:docPr descr="Рис. 8: Вставка выделенной области в конец файла" title="" id="51" name="Picture"/>
            <a:graphic>
              <a:graphicData uri="http://schemas.openxmlformats.org/drawingml/2006/picture">
                <pic:pic>
                  <pic:nvPicPr>
                    <pic:cNvPr descr="image/s-165270124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Вставка выделенной области в конец файла</w:t>
      </w:r>
    </w:p>
    <w:p>
      <w:pPr>
        <w:pStyle w:val="BodyText"/>
      </w:pPr>
      <w:r>
        <w:t xml:space="preserve">В конце мы вновь выделили эту область (рис. 9) и вырезали ее (рис. 10).</w:t>
      </w:r>
    </w:p>
    <w:p>
      <w:pPr>
        <w:pStyle w:val="CaptionedFigure"/>
      </w:pPr>
      <w:bookmarkStart w:id="57" w:name="fig:009"/>
      <w:r>
        <w:drawing>
          <wp:inline>
            <wp:extent cx="5334000" cy="3365500"/>
            <wp:effectExtent b="0" l="0" r="0" t="0"/>
            <wp:docPr descr="Рис. 9: Выделение области" title="" id="55" name="Picture"/>
            <a:graphic>
              <a:graphicData uri="http://schemas.openxmlformats.org/drawingml/2006/picture">
                <pic:pic>
                  <pic:nvPicPr>
                    <pic:cNvPr descr="image/s-165270157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Выделение области</w:t>
      </w:r>
    </w:p>
    <w:p>
      <w:pPr>
        <w:pStyle w:val="CaptionedFigure"/>
      </w:pPr>
      <w:bookmarkStart w:id="61" w:name="fig:010"/>
      <w:r>
        <w:drawing>
          <wp:inline>
            <wp:extent cx="5334000" cy="3275651"/>
            <wp:effectExtent b="0" l="0" r="0" t="0"/>
            <wp:docPr descr="Рис. 10: Вырезание выделенной области" title="" id="59" name="Picture"/>
            <a:graphic>
              <a:graphicData uri="http://schemas.openxmlformats.org/drawingml/2006/picture">
                <pic:pic>
                  <pic:nvPicPr>
                    <pic:cNvPr descr="image/s-165270162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Вырезание выделенной области</w:t>
      </w:r>
    </w:p>
    <w:p>
      <w:pPr>
        <w:pStyle w:val="BodyText"/>
      </w:pPr>
      <w:r>
        <w:t xml:space="preserve">Последнее действие мы отменили (рис. 11).</w:t>
      </w:r>
    </w:p>
    <w:p>
      <w:pPr>
        <w:pStyle w:val="CaptionedFigure"/>
      </w:pPr>
      <w:bookmarkStart w:id="65" w:name="fig:011"/>
      <w:r>
        <w:drawing>
          <wp:inline>
            <wp:extent cx="5334000" cy="3275651"/>
            <wp:effectExtent b="0" l="0" r="0" t="0"/>
            <wp:docPr descr="Рис. 11: Отмена последнего действия" title="" id="63" name="Picture"/>
            <a:graphic>
              <a:graphicData uri="http://schemas.openxmlformats.org/drawingml/2006/picture">
                <pic:pic>
                  <pic:nvPicPr>
                    <pic:cNvPr descr="image/s-165270165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Отмена последнего действия</w:t>
      </w:r>
    </w:p>
    <w:p>
      <w:pPr>
        <w:pStyle w:val="BodyText"/>
      </w:pPr>
      <w:r>
        <w:t xml:space="preserve">После шли упражнения по перемещению курсора.</w:t>
      </w:r>
    </w:p>
    <w:p>
      <w:pPr>
        <w:pStyle w:val="BodyText"/>
      </w:pPr>
      <w:r>
        <w:t xml:space="preserve">Сначала мы переместили курсор в начало строки, после этого в конец строки (рис. 12).</w:t>
      </w:r>
    </w:p>
    <w:p>
      <w:pPr>
        <w:pStyle w:val="CaptionedFigure"/>
      </w:pPr>
      <w:bookmarkStart w:id="69" w:name="fig:012"/>
      <w:r>
        <w:drawing>
          <wp:inline>
            <wp:extent cx="5334000" cy="3275651"/>
            <wp:effectExtent b="0" l="0" r="0" t="0"/>
            <wp:docPr descr="Рис. 12: Перемещение курсора" title="" id="67" name="Picture"/>
            <a:graphic>
              <a:graphicData uri="http://schemas.openxmlformats.org/drawingml/2006/picture">
                <pic:pic>
                  <pic:nvPicPr>
                    <pic:cNvPr descr="image/s-165270175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Перемещение курсора</w:t>
      </w:r>
    </w:p>
    <w:p>
      <w:pPr>
        <w:pStyle w:val="BodyText"/>
      </w:pPr>
      <w:r>
        <w:t xml:space="preserve">А также переместили курсор в начало буфера и в конец (рис. 13).</w:t>
      </w:r>
    </w:p>
    <w:p>
      <w:pPr>
        <w:pStyle w:val="CaptionedFigure"/>
      </w:pPr>
      <w:bookmarkStart w:id="73" w:name="fig:013"/>
      <w:r>
        <w:drawing>
          <wp:inline>
            <wp:extent cx="5334000" cy="3275651"/>
            <wp:effectExtent b="0" l="0" r="0" t="0"/>
            <wp:docPr descr="Рис. 13: Перемещение курсора" title="" id="71" name="Picture"/>
            <a:graphic>
              <a:graphicData uri="http://schemas.openxmlformats.org/drawingml/2006/picture">
                <pic:pic>
                  <pic:nvPicPr>
                    <pic:cNvPr descr="image/s-165270179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Перемещение курсора</w:t>
      </w:r>
    </w:p>
    <w:p>
      <w:pPr>
        <w:pStyle w:val="BodyText"/>
      </w:pPr>
      <w:r>
        <w:t xml:space="preserve">Следующими шли задания по управлению буферами.</w:t>
      </w:r>
    </w:p>
    <w:p>
      <w:pPr>
        <w:pStyle w:val="BodyText"/>
      </w:pPr>
      <w:r>
        <w:t xml:space="preserve">Первым делом мы вывели список активных буферов на экран (рис. 14).</w:t>
      </w:r>
    </w:p>
    <w:p>
      <w:pPr>
        <w:pStyle w:val="CaptionedFigure"/>
      </w:pPr>
      <w:bookmarkStart w:id="77" w:name="fig:014"/>
      <w:r>
        <w:drawing>
          <wp:inline>
            <wp:extent cx="5334000" cy="3275651"/>
            <wp:effectExtent b="0" l="0" r="0" t="0"/>
            <wp:docPr descr="Рис. 14: Вывод списка активных буферов на экран" title="" id="75" name="Picture"/>
            <a:graphic>
              <a:graphicData uri="http://schemas.openxmlformats.org/drawingml/2006/picture">
                <pic:pic>
                  <pic:nvPicPr>
                    <pic:cNvPr descr="image/s-16527018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списка активных буферов на экран</w:t>
      </w:r>
    </w:p>
    <w:p>
      <w:pPr>
        <w:pStyle w:val="BodyText"/>
      </w:pPr>
      <w:r>
        <w:t xml:space="preserve">Далее сочетанием клавиш переместились на открытое окно со списком открытых буферов и в нем переключились на другой буфер (рис. 15).</w:t>
      </w:r>
    </w:p>
    <w:p>
      <w:pPr>
        <w:pStyle w:val="CaptionedFigure"/>
      </w:pPr>
      <w:bookmarkStart w:id="81" w:name="fig:015"/>
      <w:r>
        <w:drawing>
          <wp:inline>
            <wp:extent cx="5334000" cy="3275651"/>
            <wp:effectExtent b="0" l="0" r="0" t="0"/>
            <wp:docPr descr="Рис. 15: Перемещение в новый буфер" title="" id="79" name="Picture"/>
            <a:graphic>
              <a:graphicData uri="http://schemas.openxmlformats.org/drawingml/2006/picture">
                <pic:pic>
                  <pic:nvPicPr>
                    <pic:cNvPr descr="image/s-165270185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Перемещение в новый буфер</w:t>
      </w:r>
    </w:p>
    <w:p>
      <w:pPr>
        <w:pStyle w:val="BodyText"/>
      </w:pPr>
      <w:r>
        <w:t xml:space="preserve">После этого мы закрыли окно с только что открытым буфером (рис. 16).</w:t>
      </w:r>
    </w:p>
    <w:p>
      <w:pPr>
        <w:pStyle w:val="CaptionedFigure"/>
      </w:pPr>
      <w:bookmarkStart w:id="85" w:name="fig:016"/>
      <w:r>
        <w:drawing>
          <wp:inline>
            <wp:extent cx="5334000" cy="3275651"/>
            <wp:effectExtent b="0" l="0" r="0" t="0"/>
            <wp:docPr descr="Рис. 16: Закрытие окна с буфером" title="" id="83" name="Picture"/>
            <a:graphic>
              <a:graphicData uri="http://schemas.openxmlformats.org/drawingml/2006/picture">
                <pic:pic>
                  <pic:nvPicPr>
                    <pic:cNvPr descr="image/s-165270188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Закрытие окна с буфером</w:t>
      </w:r>
    </w:p>
    <w:p>
      <w:pPr>
        <w:pStyle w:val="BodyText"/>
      </w:pPr>
      <w:r>
        <w:t xml:space="preserve">В конце мы также переключились между буферами, однако теперь без использования окна, а только используя сочетание клавиш (рис. 17).</w:t>
      </w:r>
    </w:p>
    <w:p>
      <w:pPr>
        <w:pStyle w:val="CaptionedFigure"/>
      </w:pPr>
      <w:bookmarkStart w:id="89" w:name="fig:017"/>
      <w:r>
        <w:drawing>
          <wp:inline>
            <wp:extent cx="5334000" cy="3275651"/>
            <wp:effectExtent b="0" l="0" r="0" t="0"/>
            <wp:docPr descr="Рис. 17: Перемещение в буфер" title="" id="87" name="Picture"/>
            <a:graphic>
              <a:graphicData uri="http://schemas.openxmlformats.org/drawingml/2006/picture">
                <pic:pic>
                  <pic:nvPicPr>
                    <pic:cNvPr descr="image/s-165270192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Перемещение в буфер</w:t>
      </w:r>
    </w:p>
    <w:p>
      <w:pPr>
        <w:pStyle w:val="BodyText"/>
      </w:pPr>
      <w:r>
        <w:t xml:space="preserve">Предпоследним блоком заданий были задания по управлению окнами.</w:t>
      </w:r>
    </w:p>
    <w:p>
      <w:pPr>
        <w:pStyle w:val="BodyText"/>
      </w:pPr>
      <w:r>
        <w:t xml:space="preserve">Первым делом сочетаниями клавиш мы поделили фрейм на 4-е части: два окна по вертикали и два по горизонтали (рис. 18).</w:t>
      </w:r>
    </w:p>
    <w:p>
      <w:pPr>
        <w:pStyle w:val="CaptionedFigure"/>
      </w:pPr>
      <w:bookmarkStart w:id="93" w:name="fig:018"/>
      <w:r>
        <w:drawing>
          <wp:inline>
            <wp:extent cx="5334000" cy="3275651"/>
            <wp:effectExtent b="0" l="0" r="0" t="0"/>
            <wp:docPr descr="Рис. 18: Деление фрейма на 4-е части" title="" id="91" name="Picture"/>
            <a:graphic>
              <a:graphicData uri="http://schemas.openxmlformats.org/drawingml/2006/picture">
                <pic:pic>
                  <pic:nvPicPr>
                    <pic:cNvPr descr="image/s-165270197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Деление фрейма на 4-е части</w:t>
      </w:r>
    </w:p>
    <w:p>
      <w:pPr>
        <w:pStyle w:val="BodyText"/>
      </w:pPr>
      <w:r>
        <w:t xml:space="preserve">После этого в каждом из созданных окон мы создали новый файл и напечатали в нем несколько строк текста (рис. 19).</w:t>
      </w:r>
    </w:p>
    <w:p>
      <w:pPr>
        <w:pStyle w:val="CaptionedFigure"/>
      </w:pPr>
      <w:bookmarkStart w:id="97" w:name="fig:019"/>
      <w:r>
        <w:drawing>
          <wp:inline>
            <wp:extent cx="5334000" cy="3365500"/>
            <wp:effectExtent b="0" l="0" r="0" t="0"/>
            <wp:docPr descr="Рис. 19: Напечатанные текста в файлах" title="" id="95" name="Picture"/>
            <a:graphic>
              <a:graphicData uri="http://schemas.openxmlformats.org/drawingml/2006/picture">
                <pic:pic>
                  <pic:nvPicPr>
                    <pic:cNvPr descr="image/s-165270215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Напечатанные текста в файлах</w:t>
      </w:r>
    </w:p>
    <w:p>
      <w:pPr>
        <w:pStyle w:val="BodyText"/>
      </w:pPr>
      <w:r>
        <w:t xml:space="preserve">Последним блоком заданий были задания связанные с режимом поиска.</w:t>
      </w:r>
    </w:p>
    <w:p>
      <w:pPr>
        <w:pStyle w:val="BodyText"/>
      </w:pPr>
      <w:r>
        <w:t xml:space="preserve">Для начала мы переключились в обычный режим поиска и нашли несколько слов в тексте (рис. 20). По результатам можно было переключаться сочетанием клавиш.</w:t>
      </w:r>
    </w:p>
    <w:p>
      <w:pPr>
        <w:pStyle w:val="CaptionedFigure"/>
      </w:pPr>
      <w:bookmarkStart w:id="101" w:name="fig:020"/>
      <w:r>
        <w:drawing>
          <wp:inline>
            <wp:extent cx="5334000" cy="3365500"/>
            <wp:effectExtent b="0" l="0" r="0" t="0"/>
            <wp:docPr descr="Рис. 20: Нахождение вхождений в тексте" title="" id="99" name="Picture"/>
            <a:graphic>
              <a:graphicData uri="http://schemas.openxmlformats.org/drawingml/2006/picture">
                <pic:pic>
                  <pic:nvPicPr>
                    <pic:cNvPr descr="image/s-165270238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Нахождение вхождений в тексте</w:t>
      </w:r>
    </w:p>
    <w:p>
      <w:pPr>
        <w:pStyle w:val="BodyText"/>
      </w:pPr>
      <w:r>
        <w:t xml:space="preserve">Далее мы вышли из этого режима поиска и перешли в режим замены текста (рис. 21).</w:t>
      </w:r>
    </w:p>
    <w:p>
      <w:pPr>
        <w:pStyle w:val="CaptionedFigure"/>
      </w:pPr>
      <w:bookmarkStart w:id="105" w:name="fig:021"/>
      <w:r>
        <w:drawing>
          <wp:inline>
            <wp:extent cx="5334000" cy="3365500"/>
            <wp:effectExtent b="0" l="0" r="0" t="0"/>
            <wp:docPr descr="Рис. 21: Режим замены текста" title="" id="103" name="Picture"/>
            <a:graphic>
              <a:graphicData uri="http://schemas.openxmlformats.org/drawingml/2006/picture">
                <pic:pic>
                  <pic:nvPicPr>
                    <pic:cNvPr descr="image/s-165270245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Режим замены текста</w:t>
      </w:r>
    </w:p>
    <w:p>
      <w:pPr>
        <w:pStyle w:val="BodyText"/>
      </w:pPr>
      <w:r>
        <w:t xml:space="preserve">В этом режиме первым делом мы ввели текст, который следует найти и заменить, нажали</w:t>
      </w:r>
      <w:r>
        <w:t xml:space="preserve"> </w:t>
      </w:r>
      <w:r>
        <w:t xml:space="preserve">Enter</w:t>
      </w:r>
      <w:r>
        <w:t xml:space="preserve"> </w:t>
      </w:r>
      <w:r>
        <w:t xml:space="preserve">и затем ввели текст для замены (рис. 22).</w:t>
      </w:r>
    </w:p>
    <w:p>
      <w:pPr>
        <w:pStyle w:val="CaptionedFigure"/>
      </w:pPr>
      <w:bookmarkStart w:id="109" w:name="fig:022"/>
      <w:r>
        <w:drawing>
          <wp:inline>
            <wp:extent cx="5334000" cy="3365500"/>
            <wp:effectExtent b="0" l="0" r="0" t="0"/>
            <wp:docPr descr="Рис. 22: Предложение замены" title="" id="107" name="Picture"/>
            <a:graphic>
              <a:graphicData uri="http://schemas.openxmlformats.org/drawingml/2006/picture">
                <pic:pic>
                  <pic:nvPicPr>
                    <pic:cNvPr descr="image/s-165270290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Предложение замены</w:t>
      </w:r>
    </w:p>
    <w:p>
      <w:pPr>
        <w:pStyle w:val="BodyText"/>
      </w:pPr>
      <w:r>
        <w:t xml:space="preserve">В буфере подсветился текст для замены и для подтверждения замены мы нажали</w:t>
      </w:r>
      <w:r>
        <w:t xml:space="preserve"> </w:t>
      </w:r>
      <w:r>
        <w:t xml:space="preserve">!</w:t>
      </w:r>
      <w:r>
        <w:t xml:space="preserve"> </w:t>
      </w:r>
      <w:r>
        <w:t xml:space="preserve">(рис. 23).</w:t>
      </w:r>
    </w:p>
    <w:p>
      <w:pPr>
        <w:pStyle w:val="CaptionedFigure"/>
      </w:pPr>
      <w:bookmarkStart w:id="113" w:name="fig:023"/>
      <w:r>
        <w:drawing>
          <wp:inline>
            <wp:extent cx="5334000" cy="3365500"/>
            <wp:effectExtent b="0" l="0" r="0" t="0"/>
            <wp:docPr descr="Рис. 23: Подтверждение замены" title="" id="111" name="Picture"/>
            <a:graphic>
              <a:graphicData uri="http://schemas.openxmlformats.org/drawingml/2006/picture">
                <pic:pic>
                  <pic:nvPicPr>
                    <pic:cNvPr descr="image/s-165270293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Подтверждение замены</w:t>
      </w:r>
    </w:p>
    <w:p>
      <w:pPr>
        <w:pStyle w:val="BodyText"/>
      </w:pPr>
      <w:r>
        <w:t xml:space="preserve">В конце мы испробовали другой режим поиска, нажав</w:t>
      </w:r>
      <w:r>
        <w:t xml:space="preserve"> </w:t>
      </w:r>
      <w:r>
        <w:t xml:space="preserve">M-s</w:t>
      </w:r>
      <w:r>
        <w:t xml:space="preserve"> </w:t>
      </w:r>
      <w:r>
        <w:t xml:space="preserve">o</w:t>
      </w:r>
      <w:r>
        <w:t xml:space="preserve"> </w:t>
      </w:r>
      <w:r>
        <w:t xml:space="preserve">(рис. 24).</w:t>
      </w:r>
    </w:p>
    <w:p>
      <w:pPr>
        <w:pStyle w:val="CaptionedFigure"/>
      </w:pPr>
      <w:bookmarkStart w:id="117" w:name="fig:024"/>
      <w:r>
        <w:drawing>
          <wp:inline>
            <wp:extent cx="5334000" cy="3365500"/>
            <wp:effectExtent b="0" l="0" r="0" t="0"/>
            <wp:docPr descr="Рис. 24: Использование режима поиска по регулярным выражениям" title="" id="115" name="Picture"/>
            <a:graphic>
              <a:graphicData uri="http://schemas.openxmlformats.org/drawingml/2006/picture">
                <pic:pic>
                  <pic:nvPicPr>
                    <pic:cNvPr descr="image/s-165270304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Использование режима поиска по регулярным выражениям</w:t>
      </w:r>
    </w:p>
    <w:p>
      <w:pPr>
        <w:pStyle w:val="BodyText"/>
      </w:pPr>
      <w:r>
        <w:t xml:space="preserve">Данный режим является режимом поиска с использованием регулярных выражений.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выполнении лабораторной работы мы получили практические навыки работы с редактором emacs, а также немного дополнительно познакомились с операционной системой Linux.</w:t>
      </w:r>
    </w:p>
    <w:bookmarkEnd w:id="119"/>
    <w:bookmarkStart w:id="120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Редактор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 </w:t>
      </w:r>
      <w:r>
        <w:t xml:space="preserve">представляет из себя графический (GUI) редактор текстовых файлов с особенностями буферов, фреймов и окон. Они позволяют ускорить и усовершенствовать работу с текстовыми файлами при их эффективном использовании.</w:t>
      </w:r>
    </w:p>
    <w:p>
      <w:pPr>
        <w:numPr>
          <w:ilvl w:val="0"/>
          <w:numId w:val="1002"/>
        </w:numPr>
        <w:pStyle w:val="Compact"/>
      </w:pPr>
      <w:r>
        <w:t xml:space="preserve">Те же особенности, которые делают его мощным (система буферов, фреймов и окон) делают его сложным для освоения новичкам. Также сложности добавляет взаимодействие, которое больше углублено в использование горячих клавиш.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Буфер – это некий объект, в котором содержится текст. Он может быть как буфером обмена, который чаще всего скрыт, так и буфером рабочим, который отображает файл на устройстве.</w:t>
      </w:r>
    </w:p>
    <w:p>
      <w:pPr>
        <w:numPr>
          <w:ilvl w:val="1"/>
          <w:numId w:val="1003"/>
        </w:numPr>
        <w:pStyle w:val="Compact"/>
      </w:pPr>
      <w:r>
        <w:t xml:space="preserve">Окно – не окно приложения в обычном его понимании. В терминологии emacs окно – это область фрейма (окна в обычном понимании), которая отображает содержимое буфера.</w:t>
      </w:r>
    </w:p>
    <w:p>
      <w:pPr>
        <w:numPr>
          <w:ilvl w:val="0"/>
          <w:numId w:val="1002"/>
        </w:numPr>
        <w:pStyle w:val="Compact"/>
      </w:pPr>
      <w:r>
        <w:t xml:space="preserve">Нет, нельзя, так как окно – это область,</w:t>
      </w:r>
      <w:r>
        <w:t xml:space="preserve"> </w:t>
      </w:r>
      <w:r>
        <w:t xml:space="preserve">“</w:t>
      </w:r>
      <w:r>
        <w:t xml:space="preserve">отображающая</w:t>
      </w:r>
      <w:r>
        <w:t xml:space="preserve"> </w:t>
      </w:r>
      <w:r>
        <w:rPr>
          <w:bCs/>
          <w:b/>
        </w:rPr>
        <w:t xml:space="preserve">один</w:t>
      </w:r>
      <w:r>
        <w:t xml:space="preserve"> </w:t>
      </w:r>
      <w:r>
        <w:t xml:space="preserve">из буферов</w:t>
      </w:r>
      <w:r>
        <w:t xml:space="preserve">”</w:t>
      </w:r>
      <w:r>
        <w:t xml:space="preserve">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4"/>
        </w:numPr>
        <w:pStyle w:val="Compact"/>
      </w:pPr>
      <w:r>
        <w:rPr>
          <w:iCs/>
          <w:i/>
        </w:rPr>
        <w:t xml:space="preserve">GNU Emacs</w:t>
      </w:r>
      <w:r>
        <w:t xml:space="preserve"> </w:t>
      </w:r>
      <w:r>
        <w:t xml:space="preserve">– содержит в себе</w:t>
      </w:r>
      <w:r>
        <w:t xml:space="preserve"> </w:t>
      </w:r>
      <w:r>
        <w:t xml:space="preserve">“</w:t>
      </w:r>
      <w:r>
        <w:t xml:space="preserve">встречный текст</w:t>
      </w:r>
      <w:r>
        <w:t xml:space="preserve">”</w:t>
      </w:r>
      <w:r>
        <w:t xml:space="preserve"> </w:t>
      </w:r>
      <w:r>
        <w:t xml:space="preserve">с ссылками на туториалы и мануалы.</w:t>
      </w:r>
    </w:p>
    <w:p>
      <w:pPr>
        <w:numPr>
          <w:ilvl w:val="1"/>
          <w:numId w:val="1004"/>
        </w:numPr>
        <w:pStyle w:val="Compact"/>
      </w:pPr>
      <w:r>
        <w:rPr>
          <w:iCs/>
          <w:i/>
        </w:rPr>
        <w:t xml:space="preserve">scratch</w:t>
      </w:r>
      <w:r>
        <w:t xml:space="preserve"> </w:t>
      </w:r>
      <w:r>
        <w:t xml:space="preserve">– буфер для текста, который еще не сохранен и для обработки Lisp</w:t>
      </w:r>
    </w:p>
    <w:p>
      <w:pPr>
        <w:numPr>
          <w:ilvl w:val="1"/>
          <w:numId w:val="1004"/>
        </w:numPr>
        <w:pStyle w:val="Compact"/>
      </w:pPr>
      <w:r>
        <w:rPr>
          <w:iCs/>
          <w:i/>
        </w:rPr>
        <w:t xml:space="preserve">Messages</w:t>
      </w:r>
      <w:r>
        <w:t xml:space="preserve"> </w:t>
      </w:r>
      <w:r>
        <w:t xml:space="preserve">– история выведенных сообщений в нижней части фрейма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C-c |</w:t>
      </w:r>
      <w:r>
        <w:t xml:space="preserve"> </w:t>
      </w:r>
      <w:r>
        <w:t xml:space="preserve">–</w:t>
      </w:r>
      <w:r>
        <w:t xml:space="preserve"> </w:t>
      </w:r>
      <w:r>
        <w:t xml:space="preserve">Ctrl</w:t>
      </w:r>
      <w:r>
        <w:t xml:space="preserve">c</w:t>
      </w:r>
      <w:r>
        <w:t xml:space="preserve">Shift</w:t>
      </w:r>
      <w:r>
        <w:t xml:space="preserve">&lt;/kbd&gt;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C-c C-|</w:t>
      </w:r>
      <w:r>
        <w:t xml:space="preserve"> </w:t>
      </w:r>
      <w:r>
        <w:t xml:space="preserve">–</w:t>
      </w:r>
      <w:r>
        <w:t xml:space="preserve"> </w:t>
      </w:r>
      <w:r>
        <w:t xml:space="preserve">Ctrl</w:t>
      </w:r>
      <w:r>
        <w:t xml:space="preserve">c</w:t>
      </w:r>
      <w:r>
        <w:t xml:space="preserve">Ctrl</w:t>
      </w:r>
      <w:r>
        <w:t xml:space="preserve">Shift</w:t>
      </w:r>
      <w:r>
        <w:t xml:space="preserve">&lt;/kbd&gt;</w:t>
      </w:r>
    </w:p>
    <w:p>
      <w:pPr>
        <w:numPr>
          <w:ilvl w:val="0"/>
          <w:numId w:val="1006"/>
        </w:numPr>
        <w:pStyle w:val="Compact"/>
      </w:pPr>
    </w:p>
    <w:p>
      <w:pPr>
        <w:numPr>
          <w:ilvl w:val="1"/>
          <w:numId w:val="1007"/>
        </w:numPr>
        <w:pStyle w:val="Compact"/>
      </w:pPr>
      <w:r>
        <w:rPr>
          <w:rStyle w:val="VerbatimChar"/>
        </w:rPr>
        <w:t xml:space="preserve">C-x 2</w:t>
      </w:r>
      <w:r>
        <w:t xml:space="preserve"> </w:t>
      </w:r>
      <w:r>
        <w:t xml:space="preserve">– для деления по горизонтали</w:t>
      </w:r>
    </w:p>
    <w:p>
      <w:pPr>
        <w:numPr>
          <w:ilvl w:val="1"/>
          <w:numId w:val="1007"/>
        </w:numPr>
        <w:pStyle w:val="Compact"/>
      </w:pPr>
      <w:r>
        <w:rPr>
          <w:rStyle w:val="VerbatimChar"/>
        </w:rPr>
        <w:t xml:space="preserve">C-x 3</w:t>
      </w:r>
      <w:r>
        <w:t xml:space="preserve"> </w:t>
      </w:r>
      <w:r>
        <w:t xml:space="preserve">– для деления по вертикали</w:t>
      </w:r>
    </w:p>
    <w:p>
      <w:pPr>
        <w:numPr>
          <w:ilvl w:val="0"/>
          <w:numId w:val="1006"/>
        </w:numPr>
        <w:pStyle w:val="Compact"/>
      </w:pPr>
      <w:r>
        <w:t xml:space="preserve">Конфигурационный файл находится по пути</w:t>
      </w:r>
      <w:r>
        <w:t xml:space="preserve"> </w:t>
      </w:r>
      <w:r>
        <w:rPr>
          <w:rStyle w:val="VerbatimChar"/>
        </w:rPr>
        <w:t xml:space="preserve">~/.config/emacs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В редакторе клавиша</w:t>
      </w:r>
      <w:r>
        <w:t xml:space="preserve"> </w:t>
      </w:r>
      <w:r>
        <w:t xml:space="preserve">Backspace</w:t>
      </w:r>
      <w:r>
        <w:t xml:space="preserve"> </w:t>
      </w:r>
      <w:r>
        <w:t xml:space="preserve">имеет стандартное поведения удаления предыдущего символа. Однако действие по нажатии клавиши можно переназначить в конфигурации emacs.</w:t>
      </w:r>
    </w:p>
    <w:p>
      <w:pPr>
        <w:numPr>
          <w:ilvl w:val="0"/>
          <w:numId w:val="1006"/>
        </w:numPr>
        <w:pStyle w:val="Compact"/>
      </w:pPr>
      <w:r>
        <w:t xml:space="preserve">Мне больше понравился редактор vi (vim), т.к. emacs для меня не обладает какими-либо особенностями, которые оправдали бы установку дополнительного GUI приложения и уж тем более переход на его использование. Vi (Vim) встроен в большинстве дистрибутивов и позволяет добиться высокой эффективности.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Кочкарев “sakochkarev” Станислав</dc:creator>
  <dc:language>ru-RU</dc:language>
  <cp:keywords/>
  <dcterms:created xsi:type="dcterms:W3CDTF">2022-05-16T13:44:27Z</dcterms:created>
  <dcterms:modified xsi:type="dcterms:W3CDTF">2022-05-16T13:44:27Z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Текстовой редактор emacs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