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E0B9" w14:textId="4F4DE096" w:rsidR="002760BD" w:rsidRPr="002760BD" w:rsidRDefault="002760BD" w:rsidP="007C3113">
      <w:pPr>
        <w:rPr>
          <w:b/>
          <w:bCs/>
        </w:rPr>
      </w:pPr>
      <w:proofErr w:type="spellStart"/>
      <w:r w:rsidRPr="002760BD">
        <w:rPr>
          <w:b/>
          <w:bCs/>
        </w:rPr>
        <w:t>Transcriptomics</w:t>
      </w:r>
      <w:proofErr w:type="spellEnd"/>
      <w:r w:rsidRPr="002760BD">
        <w:rPr>
          <w:b/>
          <w:bCs/>
        </w:rPr>
        <w:t xml:space="preserve"> analyse van </w:t>
      </w:r>
      <w:proofErr w:type="spellStart"/>
      <w:r w:rsidRPr="002760BD">
        <w:rPr>
          <w:b/>
          <w:bCs/>
        </w:rPr>
        <w:t>synoviumweefsel</w:t>
      </w:r>
      <w:proofErr w:type="spellEnd"/>
      <w:r w:rsidRPr="002760BD">
        <w:rPr>
          <w:b/>
          <w:bCs/>
        </w:rPr>
        <w:t xml:space="preserve"> van patiënten met reumatoïde artritis</w:t>
      </w:r>
    </w:p>
    <w:p w14:paraId="5C93200F" w14:textId="77777777" w:rsidR="002760BD" w:rsidRDefault="002760BD" w:rsidP="007C3113"/>
    <w:p w14:paraId="5DF4E074" w14:textId="1D91D4EC" w:rsidR="002760BD" w:rsidRPr="002760BD" w:rsidRDefault="002760BD" w:rsidP="007C3113">
      <w:pPr>
        <w:rPr>
          <w:b/>
          <w:bCs/>
        </w:rPr>
      </w:pPr>
      <w:r w:rsidRPr="002760BD">
        <w:rPr>
          <w:b/>
          <w:bCs/>
        </w:rPr>
        <w:t>Introductie</w:t>
      </w:r>
    </w:p>
    <w:p w14:paraId="72BB736C" w14:textId="1341CA26" w:rsidR="007C3113" w:rsidRPr="007C3113" w:rsidRDefault="007C3113" w:rsidP="007C3113">
      <w:r w:rsidRPr="007C3113">
        <w:t xml:space="preserve">Reumatoïde artritis (RA) is een chronische systemische auto-immuunziekte die voornamelijk de synoviale gewrichten aantast. De ziekte wordt gekenmerkt door ontsteking van het </w:t>
      </w:r>
      <w:proofErr w:type="spellStart"/>
      <w:r w:rsidRPr="007C3113">
        <w:t>synovium</w:t>
      </w:r>
      <w:proofErr w:type="spellEnd"/>
      <w:r w:rsidRPr="007C3113">
        <w:t>, wat uiteindelijk kan leiden tot kraakbeenafbraak, boterosie en verlies van gewrichtsfunctie. Hoewel de exacte oorzaak van RA nog niet volledig bekend is, spelen genetische aanleg, omgevingsfactoren en ontregeling van het immuunsysteem een belangrijke rol bij het ontstaan van de ziekte (Gabriel, 2001). Een belangrijk kenmerk van RA is de aanwezigheid van autoantistoffen, waaronder anti-</w:t>
      </w:r>
      <w:proofErr w:type="spellStart"/>
      <w:r w:rsidRPr="007C3113">
        <w:t>citrullinated</w:t>
      </w:r>
      <w:proofErr w:type="spellEnd"/>
      <w:r w:rsidRPr="007C3113">
        <w:t xml:space="preserve"> </w:t>
      </w:r>
      <w:proofErr w:type="spellStart"/>
      <w:r w:rsidRPr="007C3113">
        <w:t>protein</w:t>
      </w:r>
      <w:proofErr w:type="spellEnd"/>
      <w:r w:rsidRPr="007C3113">
        <w:t xml:space="preserve"> </w:t>
      </w:r>
      <w:proofErr w:type="spellStart"/>
      <w:r w:rsidRPr="007C3113">
        <w:t>antibodies</w:t>
      </w:r>
      <w:proofErr w:type="spellEnd"/>
      <w:r w:rsidRPr="007C3113">
        <w:t xml:space="preserve"> (ACPA), die vaak al vóór het ontstaan van klinische symptomen aantoonbaar zijn (</w:t>
      </w:r>
      <w:proofErr w:type="spellStart"/>
      <w:r w:rsidRPr="007C3113">
        <w:t>Majithia</w:t>
      </w:r>
      <w:proofErr w:type="spellEnd"/>
      <w:r w:rsidRPr="007C3113">
        <w:t xml:space="preserve"> &amp; </w:t>
      </w:r>
      <w:proofErr w:type="spellStart"/>
      <w:r w:rsidRPr="007C3113">
        <w:t>Geraci</w:t>
      </w:r>
      <w:proofErr w:type="spellEnd"/>
      <w:r w:rsidRPr="007C3113">
        <w:t>, 2007).</w:t>
      </w:r>
    </w:p>
    <w:p w14:paraId="1C47E3DB" w14:textId="77777777" w:rsidR="007C3113" w:rsidRPr="007C3113" w:rsidRDefault="007C3113" w:rsidP="007C3113">
      <w:proofErr w:type="spellStart"/>
      <w:r w:rsidRPr="007C3113">
        <w:t>Transcriptomics</w:t>
      </w:r>
      <w:proofErr w:type="spellEnd"/>
      <w:r w:rsidRPr="007C3113">
        <w:t xml:space="preserve"> maakt het mogelijk om op grote schaal genexpressie te bestuderen en biedt daardoor inzicht in de moleculaire mechanismen die betrokken zijn bij ziekteprocessen. Door verschillen in genexpressie tussen patiënten en gezonde controles te analyseren, kunnen betrokken genen en biologische </w:t>
      </w:r>
      <w:proofErr w:type="spellStart"/>
      <w:r w:rsidRPr="007C3113">
        <w:t>pathways</w:t>
      </w:r>
      <w:proofErr w:type="spellEnd"/>
      <w:r w:rsidRPr="007C3113">
        <w:t xml:space="preserve"> worden geïdentificeerd (Wang et al., 2009). Eerdere studies hebben aangetoond dat </w:t>
      </w:r>
      <w:proofErr w:type="spellStart"/>
      <w:r w:rsidRPr="007C3113">
        <w:t>immuunactivatie</w:t>
      </w:r>
      <w:proofErr w:type="spellEnd"/>
      <w:r w:rsidRPr="007C3113">
        <w:t>, B-celactiviteit, cytokinesignalering en ontstekingsprocessen een centrale rol spelen bij RA (</w:t>
      </w:r>
      <w:proofErr w:type="spellStart"/>
      <w:r w:rsidRPr="007C3113">
        <w:t>McInnes</w:t>
      </w:r>
      <w:proofErr w:type="spellEnd"/>
      <w:r w:rsidRPr="007C3113">
        <w:t xml:space="preserve"> &amp; </w:t>
      </w:r>
      <w:proofErr w:type="spellStart"/>
      <w:r w:rsidRPr="007C3113">
        <w:t>Schett</w:t>
      </w:r>
      <w:proofErr w:type="spellEnd"/>
      <w:r w:rsidRPr="007C3113">
        <w:t>, 2011).</w:t>
      </w:r>
    </w:p>
    <w:p w14:paraId="0CFD1883" w14:textId="28C500E4" w:rsidR="007C3113" w:rsidRPr="007C3113" w:rsidRDefault="007C3113" w:rsidP="007C3113">
      <w:r w:rsidRPr="007C3113">
        <w:t>In deze studie werd RNA-</w:t>
      </w:r>
      <w:proofErr w:type="spellStart"/>
      <w:r w:rsidRPr="007C3113">
        <w:t>seq</w:t>
      </w:r>
      <w:proofErr w:type="spellEnd"/>
      <w:r w:rsidRPr="007C3113">
        <w:t xml:space="preserve"> data afkomstig van </w:t>
      </w:r>
      <w:proofErr w:type="spellStart"/>
      <w:r w:rsidRPr="007C3113">
        <w:t>synoviumbiopten</w:t>
      </w:r>
      <w:proofErr w:type="spellEnd"/>
      <w:r w:rsidRPr="007C3113">
        <w:t xml:space="preserve"> van vier patiënten met vastgestelde RA en vier controlepersonen geanalyseerd. Het doel van het onderzoek was om genen en biologische processen te identificeren die differentieel tot expressie komen bij RA en om de betrokken </w:t>
      </w:r>
      <w:proofErr w:type="spellStart"/>
      <w:r w:rsidRPr="007C3113">
        <w:t>pathways</w:t>
      </w:r>
      <w:proofErr w:type="spellEnd"/>
      <w:r w:rsidRPr="007C3113">
        <w:t xml:space="preserve"> verder te onderzoeken met behulp van Gene </w:t>
      </w:r>
      <w:proofErr w:type="spellStart"/>
      <w:r w:rsidRPr="007C3113">
        <w:t>Ontology</w:t>
      </w:r>
      <w:proofErr w:type="spellEnd"/>
      <w:r w:rsidRPr="007C3113">
        <w:t xml:space="preserve"> (GO)- en KEGG-</w:t>
      </w:r>
      <w:proofErr w:type="spellStart"/>
      <w:r w:rsidRPr="007C3113">
        <w:t>pathwayanalyses</w:t>
      </w:r>
      <w:proofErr w:type="spellEnd"/>
      <w:r w:rsidRPr="007C3113">
        <w:t>.</w:t>
      </w:r>
      <w:r>
        <w:t xml:space="preserve"> </w:t>
      </w:r>
    </w:p>
    <w:p w14:paraId="341135CD" w14:textId="77777777" w:rsidR="007C3113" w:rsidRPr="007C3113" w:rsidRDefault="007C3113" w:rsidP="007C3113">
      <w:pPr>
        <w:rPr>
          <w:b/>
          <w:bCs/>
        </w:rPr>
      </w:pPr>
      <w:r w:rsidRPr="007C3113">
        <w:rPr>
          <w:b/>
          <w:bCs/>
        </w:rPr>
        <w:t>Methoden</w:t>
      </w:r>
    </w:p>
    <w:p w14:paraId="44682C7B" w14:textId="1AB7DFA8" w:rsidR="00593664" w:rsidRPr="00FD1741" w:rsidRDefault="00593664" w:rsidP="00593664">
      <w:r w:rsidRPr="00593664">
        <w:t>Voor deze studie werd gebruikgemaakt van publieke RNA-</w:t>
      </w:r>
      <w:proofErr w:type="spellStart"/>
      <w:r w:rsidRPr="00593664">
        <w:t>sequencingdata</w:t>
      </w:r>
      <w:proofErr w:type="spellEnd"/>
      <w:r w:rsidRPr="00593664">
        <w:t xml:space="preserve"> afkomstig van </w:t>
      </w:r>
      <w:proofErr w:type="spellStart"/>
      <w:r w:rsidRPr="00593664">
        <w:t>synoviumbiopten</w:t>
      </w:r>
      <w:proofErr w:type="spellEnd"/>
      <w:r w:rsidRPr="00593664">
        <w:t xml:space="preserve"> van vier vrouwelijke patiënten met gevestigde reumatoïde artritis (54–66 jaar) en vier vrouwelijke controlepersonen zonder RA (15–42 jaar). Alle RA-patiënten waren positief voor anti-</w:t>
      </w:r>
      <w:proofErr w:type="spellStart"/>
      <w:r w:rsidRPr="00593664">
        <w:t>citrullinated</w:t>
      </w:r>
      <w:proofErr w:type="spellEnd"/>
      <w:r w:rsidRPr="00593664">
        <w:t xml:space="preserve"> </w:t>
      </w:r>
      <w:proofErr w:type="spellStart"/>
      <w:r w:rsidRPr="00593664">
        <w:t>protein</w:t>
      </w:r>
      <w:proofErr w:type="spellEnd"/>
      <w:r w:rsidRPr="00593664">
        <w:t xml:space="preserve"> </w:t>
      </w:r>
      <w:proofErr w:type="spellStart"/>
      <w:r w:rsidRPr="00593664">
        <w:t>antibodies</w:t>
      </w:r>
      <w:proofErr w:type="spellEnd"/>
      <w:r w:rsidRPr="00593664">
        <w:t xml:space="preserve"> (ACPA). De dataset was afkomstig uit een eerder gepubliceerd onderzoek (</w:t>
      </w:r>
      <w:proofErr w:type="spellStart"/>
      <w:r w:rsidRPr="00593664">
        <w:t>Platzer</w:t>
      </w:r>
      <w:proofErr w:type="spellEnd"/>
      <w:r w:rsidRPr="00593664">
        <w:t xml:space="preserve"> et al., 2019).</w:t>
      </w:r>
    </w:p>
    <w:p w14:paraId="259F8A96" w14:textId="1B0BE3F6" w:rsidR="00593664" w:rsidRDefault="00FD1741" w:rsidP="00593664">
      <w:pPr>
        <w:rPr>
          <w:b/>
          <w:bCs/>
        </w:rPr>
      </w:pPr>
      <w:r w:rsidRPr="00FD1741">
        <w:rPr>
          <w:b/>
          <w:bCs/>
          <w:noProof/>
        </w:rPr>
        <w:drawing>
          <wp:inline distT="0" distB="0" distL="0" distR="0" wp14:anchorId="05907FE7" wp14:editId="40A2DE3F">
            <wp:extent cx="3920745" cy="2305685"/>
            <wp:effectExtent l="0" t="0" r="3810" b="0"/>
            <wp:docPr id="9832206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0661" name=""/>
                    <pic:cNvPicPr/>
                  </pic:nvPicPr>
                  <pic:blipFill>
                    <a:blip r:embed="rId7"/>
                    <a:stretch>
                      <a:fillRect/>
                    </a:stretch>
                  </pic:blipFill>
                  <pic:spPr>
                    <a:xfrm>
                      <a:off x="0" y="0"/>
                      <a:ext cx="3935120" cy="2314139"/>
                    </a:xfrm>
                    <a:prstGeom prst="rect">
                      <a:avLst/>
                    </a:prstGeom>
                  </pic:spPr>
                </pic:pic>
              </a:graphicData>
            </a:graphic>
          </wp:inline>
        </w:drawing>
      </w:r>
    </w:p>
    <w:p w14:paraId="5F6430BD" w14:textId="0024FA36" w:rsidR="00593664" w:rsidRPr="00593664" w:rsidRDefault="00593664" w:rsidP="00593664">
      <w:pPr>
        <w:rPr>
          <w:i/>
          <w:iCs/>
          <w:color w:val="747474" w:themeColor="background2" w:themeShade="80"/>
          <w:sz w:val="18"/>
          <w:szCs w:val="18"/>
        </w:rPr>
      </w:pPr>
      <w:r w:rsidRPr="00593664">
        <w:rPr>
          <w:b/>
          <w:bCs/>
          <w:i/>
          <w:iCs/>
          <w:color w:val="747474" w:themeColor="background2" w:themeShade="80"/>
          <w:sz w:val="18"/>
          <w:szCs w:val="18"/>
        </w:rPr>
        <w:t>Figuur 1</w:t>
      </w:r>
      <w:r w:rsidRPr="00593664">
        <w:rPr>
          <w:i/>
          <w:iCs/>
          <w:color w:val="747474" w:themeColor="background2" w:themeShade="80"/>
          <w:sz w:val="18"/>
          <w:szCs w:val="18"/>
        </w:rPr>
        <w:t xml:space="preserve">. Stroomschema van de </w:t>
      </w:r>
      <w:proofErr w:type="spellStart"/>
      <w:r w:rsidRPr="00593664">
        <w:rPr>
          <w:i/>
          <w:iCs/>
          <w:color w:val="747474" w:themeColor="background2" w:themeShade="80"/>
          <w:sz w:val="18"/>
          <w:szCs w:val="18"/>
        </w:rPr>
        <w:t>bioinformatica</w:t>
      </w:r>
      <w:proofErr w:type="spellEnd"/>
      <w:r w:rsidRPr="00593664">
        <w:rPr>
          <w:i/>
          <w:iCs/>
          <w:color w:val="747474" w:themeColor="background2" w:themeShade="80"/>
          <w:sz w:val="18"/>
          <w:szCs w:val="18"/>
        </w:rPr>
        <w:t>-analyse. RNA-</w:t>
      </w:r>
      <w:proofErr w:type="spellStart"/>
      <w:r w:rsidRPr="00593664">
        <w:rPr>
          <w:i/>
          <w:iCs/>
          <w:color w:val="747474" w:themeColor="background2" w:themeShade="80"/>
          <w:sz w:val="18"/>
          <w:szCs w:val="18"/>
        </w:rPr>
        <w:t>sequencingdata</w:t>
      </w:r>
      <w:proofErr w:type="spellEnd"/>
      <w:r w:rsidRPr="00593664">
        <w:rPr>
          <w:i/>
          <w:iCs/>
          <w:color w:val="747474" w:themeColor="background2" w:themeShade="80"/>
          <w:sz w:val="18"/>
          <w:szCs w:val="18"/>
        </w:rPr>
        <w:t xml:space="preserve"> werden </w:t>
      </w:r>
      <w:proofErr w:type="spellStart"/>
      <w:r w:rsidRPr="00593664">
        <w:rPr>
          <w:i/>
          <w:iCs/>
          <w:color w:val="747474" w:themeColor="background2" w:themeShade="80"/>
          <w:sz w:val="18"/>
          <w:szCs w:val="18"/>
        </w:rPr>
        <w:t>gemapt</w:t>
      </w:r>
      <w:proofErr w:type="spellEnd"/>
      <w:r w:rsidRPr="00593664">
        <w:rPr>
          <w:i/>
          <w:iCs/>
          <w:color w:val="747474" w:themeColor="background2" w:themeShade="80"/>
          <w:sz w:val="18"/>
          <w:szCs w:val="18"/>
        </w:rPr>
        <w:t xml:space="preserve"> tegen het humane referentiegenoom, waarna een </w:t>
      </w:r>
      <w:proofErr w:type="spellStart"/>
      <w:r w:rsidRPr="00593664">
        <w:rPr>
          <w:i/>
          <w:iCs/>
          <w:color w:val="747474" w:themeColor="background2" w:themeShade="80"/>
          <w:sz w:val="18"/>
          <w:szCs w:val="18"/>
        </w:rPr>
        <w:t>count</w:t>
      </w:r>
      <w:proofErr w:type="spellEnd"/>
      <w:r w:rsidRPr="00593664">
        <w:rPr>
          <w:i/>
          <w:iCs/>
          <w:color w:val="747474" w:themeColor="background2" w:themeShade="80"/>
          <w:sz w:val="18"/>
          <w:szCs w:val="18"/>
        </w:rPr>
        <w:t xml:space="preserve"> matrix werd gegenereerd. Vervolgens werden differentiële expressieanalyse, GO-analyse en KEGG-</w:t>
      </w:r>
      <w:proofErr w:type="spellStart"/>
      <w:r w:rsidRPr="00593664">
        <w:rPr>
          <w:i/>
          <w:iCs/>
          <w:color w:val="747474" w:themeColor="background2" w:themeShade="80"/>
          <w:sz w:val="18"/>
          <w:szCs w:val="18"/>
        </w:rPr>
        <w:t>pathwayanalyse</w:t>
      </w:r>
      <w:proofErr w:type="spellEnd"/>
      <w:r w:rsidRPr="00593664">
        <w:rPr>
          <w:i/>
          <w:iCs/>
          <w:color w:val="747474" w:themeColor="background2" w:themeShade="80"/>
          <w:sz w:val="18"/>
          <w:szCs w:val="18"/>
        </w:rPr>
        <w:t xml:space="preserve"> uitgevoerd.</w:t>
      </w:r>
    </w:p>
    <w:p w14:paraId="21AE98E8" w14:textId="77777777" w:rsidR="00593664" w:rsidRPr="00593664" w:rsidRDefault="00593664" w:rsidP="00593664">
      <w:r w:rsidRPr="00593664">
        <w:lastRenderedPageBreak/>
        <w:t xml:space="preserve">De analyses werden uitgevoerd in R (versie 4.x). Eerst werd het humane referentiegenoom GRCh38 geïndexeerd met behulp van het package </w:t>
      </w:r>
      <w:proofErr w:type="spellStart"/>
      <w:r w:rsidRPr="00593664">
        <w:t>Rsubread</w:t>
      </w:r>
      <w:proofErr w:type="spellEnd"/>
      <w:r w:rsidRPr="00593664">
        <w:t xml:space="preserve">. Vervolgens werden </w:t>
      </w:r>
      <w:proofErr w:type="spellStart"/>
      <w:r w:rsidRPr="00593664">
        <w:t>paired</w:t>
      </w:r>
      <w:proofErr w:type="spellEnd"/>
      <w:r w:rsidRPr="00593664">
        <w:t>-end RNA-</w:t>
      </w:r>
      <w:proofErr w:type="spellStart"/>
      <w:r w:rsidRPr="00593664">
        <w:t>seq</w:t>
      </w:r>
      <w:proofErr w:type="spellEnd"/>
      <w:r w:rsidRPr="00593664">
        <w:t xml:space="preserve"> </w:t>
      </w:r>
      <w:proofErr w:type="spellStart"/>
      <w:r w:rsidRPr="00593664">
        <w:t>reads</w:t>
      </w:r>
      <w:proofErr w:type="spellEnd"/>
      <w:r w:rsidRPr="00593664">
        <w:t xml:space="preserve"> </w:t>
      </w:r>
      <w:proofErr w:type="spellStart"/>
      <w:r w:rsidRPr="00593664">
        <w:t>gemapt</w:t>
      </w:r>
      <w:proofErr w:type="spellEnd"/>
      <w:r w:rsidRPr="00593664">
        <w:t xml:space="preserve"> tegen het referentiegenoom met de functie </w:t>
      </w:r>
      <w:proofErr w:type="spellStart"/>
      <w:r w:rsidRPr="00593664">
        <w:t>align</w:t>
      </w:r>
      <w:proofErr w:type="spellEnd"/>
      <w:r w:rsidRPr="00593664">
        <w:t xml:space="preserve">(). De resulterende BAM-bestanden werden gesorteerd en geïndexeerd met </w:t>
      </w:r>
      <w:proofErr w:type="spellStart"/>
      <w:r w:rsidRPr="00593664">
        <w:t>Rsamtools</w:t>
      </w:r>
      <w:proofErr w:type="spellEnd"/>
      <w:r w:rsidRPr="00593664">
        <w:t>.</w:t>
      </w:r>
    </w:p>
    <w:p w14:paraId="422CB261" w14:textId="77777777" w:rsidR="00593664" w:rsidRPr="00593664" w:rsidRDefault="00593664" w:rsidP="00593664">
      <w:r w:rsidRPr="00593664">
        <w:t xml:space="preserve">Voor het bepalen van genexpressie werd met </w:t>
      </w:r>
      <w:proofErr w:type="spellStart"/>
      <w:r w:rsidRPr="00593664">
        <w:t>featureCounts</w:t>
      </w:r>
      <w:proofErr w:type="spellEnd"/>
      <w:r w:rsidRPr="00593664">
        <w:t xml:space="preserve">() een </w:t>
      </w:r>
      <w:proofErr w:type="spellStart"/>
      <w:r w:rsidRPr="00593664">
        <w:t>count</w:t>
      </w:r>
      <w:proofErr w:type="spellEnd"/>
      <w:r w:rsidRPr="00593664">
        <w:t xml:space="preserve"> matrix gegenereerd op basis van een GTF-annotatiebestand behorend bij dezelfde referentieversie. De </w:t>
      </w:r>
      <w:proofErr w:type="spellStart"/>
      <w:r w:rsidRPr="00593664">
        <w:t>count</w:t>
      </w:r>
      <w:proofErr w:type="spellEnd"/>
      <w:r w:rsidRPr="00593664">
        <w:t xml:space="preserve"> matrix bevatte gen-specifieke </w:t>
      </w:r>
      <w:proofErr w:type="spellStart"/>
      <w:r w:rsidRPr="00593664">
        <w:t>readaantallen</w:t>
      </w:r>
      <w:proofErr w:type="spellEnd"/>
      <w:r w:rsidRPr="00593664">
        <w:t xml:space="preserve"> voor alle acht samples.</w:t>
      </w:r>
    </w:p>
    <w:p w14:paraId="47C4129F" w14:textId="77777777" w:rsidR="00593664" w:rsidRPr="00593664" w:rsidRDefault="00593664" w:rsidP="00593664">
      <w:r w:rsidRPr="00593664">
        <w:t xml:space="preserve">Differentiële genexpressie tussen de RA-groep en controlegroep werd bepaald met het package DESeq2. Hierbij werden de ruwe </w:t>
      </w:r>
      <w:proofErr w:type="spellStart"/>
      <w:r w:rsidRPr="00593664">
        <w:t>counts</w:t>
      </w:r>
      <w:proofErr w:type="spellEnd"/>
      <w:r w:rsidRPr="00593664">
        <w:t xml:space="preserve"> genormaliseerd en statistisch vergeleken. Genen met een aangepaste p-waarde (</w:t>
      </w:r>
      <w:proofErr w:type="spellStart"/>
      <w:r w:rsidRPr="00593664">
        <w:t>padj</w:t>
      </w:r>
      <w:proofErr w:type="spellEnd"/>
      <w:r w:rsidRPr="00593664">
        <w:t>) kleiner dan 0,05 werden als significant beschouwd.</w:t>
      </w:r>
    </w:p>
    <w:p w14:paraId="480B405E" w14:textId="77777777" w:rsidR="00593664" w:rsidRPr="00593664" w:rsidRDefault="00593664" w:rsidP="00593664">
      <w:r w:rsidRPr="00593664">
        <w:t xml:space="preserve">Vervolgens werd een Gene </w:t>
      </w:r>
      <w:proofErr w:type="spellStart"/>
      <w:r w:rsidRPr="00593664">
        <w:t>Ontology</w:t>
      </w:r>
      <w:proofErr w:type="spellEnd"/>
      <w:r w:rsidRPr="00593664">
        <w:t xml:space="preserve"> (GO)-analyse uitgevoerd met het package </w:t>
      </w:r>
      <w:proofErr w:type="spellStart"/>
      <w:r w:rsidRPr="00593664">
        <w:t>goseq</w:t>
      </w:r>
      <w:proofErr w:type="spellEnd"/>
      <w:r w:rsidRPr="00593664">
        <w:t xml:space="preserve"> om verrijkte biologische processen te identificeren. Tot slot werd een KEGG-</w:t>
      </w:r>
      <w:proofErr w:type="spellStart"/>
      <w:r w:rsidRPr="00593664">
        <w:t>pathwayanalyse</w:t>
      </w:r>
      <w:proofErr w:type="spellEnd"/>
      <w:r w:rsidRPr="00593664">
        <w:t xml:space="preserve"> uitgevoerd met </w:t>
      </w:r>
      <w:proofErr w:type="spellStart"/>
      <w:r w:rsidRPr="00593664">
        <w:t>Pathview</w:t>
      </w:r>
      <w:proofErr w:type="spellEnd"/>
      <w:r w:rsidRPr="00593664">
        <w:t>. Op basis van de GO-resultaten werd gekozen voor de B-</w:t>
      </w:r>
      <w:proofErr w:type="spellStart"/>
      <w:r w:rsidRPr="00593664">
        <w:t>cell</w:t>
      </w:r>
      <w:proofErr w:type="spellEnd"/>
      <w:r w:rsidRPr="00593664">
        <w:t xml:space="preserve"> receptor </w:t>
      </w:r>
      <w:proofErr w:type="spellStart"/>
      <w:r w:rsidRPr="00593664">
        <w:t>signaling</w:t>
      </w:r>
      <w:proofErr w:type="spellEnd"/>
      <w:r w:rsidRPr="00593664">
        <w:t xml:space="preserve"> </w:t>
      </w:r>
      <w:proofErr w:type="spellStart"/>
      <w:r w:rsidRPr="00593664">
        <w:t>pathway</w:t>
      </w:r>
      <w:proofErr w:type="spellEnd"/>
      <w:r w:rsidRPr="00593664">
        <w:t xml:space="preserve"> (hsa04662).</w:t>
      </w:r>
    </w:p>
    <w:p w14:paraId="614A7CF7" w14:textId="77777777" w:rsidR="007C3113" w:rsidRPr="007C3113" w:rsidRDefault="007C3113" w:rsidP="007C3113"/>
    <w:p w14:paraId="34144255" w14:textId="77777777" w:rsidR="007C3113" w:rsidRPr="007C3113" w:rsidRDefault="007C3113" w:rsidP="007C3113">
      <w:pPr>
        <w:rPr>
          <w:b/>
          <w:bCs/>
        </w:rPr>
      </w:pPr>
      <w:r w:rsidRPr="007C3113">
        <w:rPr>
          <w:b/>
          <w:bCs/>
        </w:rPr>
        <w:t>Resultaten</w:t>
      </w:r>
    </w:p>
    <w:p w14:paraId="08418063" w14:textId="7E19801B" w:rsidR="007C3113" w:rsidRPr="007C3113" w:rsidRDefault="007C3113" w:rsidP="007C3113">
      <w:r w:rsidRPr="007C3113">
        <w:t xml:space="preserve">De differentiële expressieanalyse resulteerde in een groot aantal genen met significante verschillen in expressie tussen RA-patiënten en controles. De resultaten werden gevisualiseerd met een </w:t>
      </w:r>
      <w:proofErr w:type="spellStart"/>
      <w:r w:rsidRPr="007C3113">
        <w:t>volcano</w:t>
      </w:r>
      <w:proofErr w:type="spellEnd"/>
      <w:r w:rsidRPr="007C3113">
        <w:t xml:space="preserve"> plot (Figuur </w:t>
      </w:r>
      <w:r w:rsidR="00593664">
        <w:t>2</w:t>
      </w:r>
      <w:r w:rsidRPr="007C3113">
        <w:t xml:space="preserve">). Hierin zijn genen weergegeven </w:t>
      </w:r>
      <w:r w:rsidR="002760BD" w:rsidRPr="007C3113">
        <w:t>o</w:t>
      </w:r>
      <w:r w:rsidR="002760BD">
        <w:t>.b.v.</w:t>
      </w:r>
      <w:r w:rsidRPr="007C3113">
        <w:t xml:space="preserve"> hun log2fold change en gecorrigeerde p-waarde. Zowel </w:t>
      </w:r>
      <w:proofErr w:type="spellStart"/>
      <w:r w:rsidRPr="007C3113">
        <w:t>opgereguleerde</w:t>
      </w:r>
      <w:proofErr w:type="spellEnd"/>
      <w:r w:rsidRPr="007C3113">
        <w:t xml:space="preserve"> als neer-gereguleerde genen werden waargenomen. Onder de sterkst veranderde genen bevonden zich meerdere </w:t>
      </w:r>
      <w:proofErr w:type="spellStart"/>
      <w:r w:rsidRPr="007C3113">
        <w:t>immuungerelateerde</w:t>
      </w:r>
      <w:proofErr w:type="spellEnd"/>
      <w:r w:rsidRPr="007C3113">
        <w:t xml:space="preserve"> genen, waaronder immunoglobuline-gerelateerde genen.</w:t>
      </w:r>
    </w:p>
    <w:p w14:paraId="67FB9C68" w14:textId="47CB376C" w:rsidR="007C3113" w:rsidRDefault="007C3113" w:rsidP="007C3113">
      <w:pPr>
        <w:rPr>
          <w:b/>
          <w:bCs/>
        </w:rPr>
      </w:pPr>
      <w:r>
        <w:rPr>
          <w:b/>
          <w:bCs/>
          <w:noProof/>
        </w:rPr>
        <w:lastRenderedPageBreak/>
        <w:drawing>
          <wp:inline distT="0" distB="0" distL="0" distR="0" wp14:anchorId="5A19F72F" wp14:editId="5B1F8F43">
            <wp:extent cx="3909060" cy="4886325"/>
            <wp:effectExtent l="0" t="0" r="0" b="9525"/>
            <wp:docPr id="20528305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0503" name="Afbeelding 20528305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9060" cy="4886325"/>
                    </a:xfrm>
                    <a:prstGeom prst="rect">
                      <a:avLst/>
                    </a:prstGeom>
                  </pic:spPr>
                </pic:pic>
              </a:graphicData>
            </a:graphic>
          </wp:inline>
        </w:drawing>
      </w:r>
    </w:p>
    <w:p w14:paraId="7AD9EFD5" w14:textId="77777777" w:rsidR="007C3113" w:rsidRDefault="007C3113" w:rsidP="007C3113">
      <w:pPr>
        <w:rPr>
          <w:b/>
          <w:bCs/>
        </w:rPr>
      </w:pPr>
    </w:p>
    <w:p w14:paraId="4E87A717" w14:textId="77777777" w:rsidR="007C3113" w:rsidRDefault="007C3113" w:rsidP="007C3113">
      <w:pPr>
        <w:rPr>
          <w:b/>
          <w:bCs/>
        </w:rPr>
      </w:pPr>
    </w:p>
    <w:p w14:paraId="6278D92D" w14:textId="4E7D95F9" w:rsidR="007C3113" w:rsidRPr="00593664" w:rsidRDefault="007C3113" w:rsidP="007C3113">
      <w:pPr>
        <w:rPr>
          <w:i/>
          <w:iCs/>
          <w:color w:val="747474" w:themeColor="background2" w:themeShade="80"/>
          <w:sz w:val="18"/>
          <w:szCs w:val="18"/>
        </w:rPr>
      </w:pPr>
      <w:r w:rsidRPr="00593664">
        <w:rPr>
          <w:b/>
          <w:bCs/>
          <w:i/>
          <w:iCs/>
          <w:color w:val="747474" w:themeColor="background2" w:themeShade="80"/>
          <w:sz w:val="18"/>
          <w:szCs w:val="18"/>
        </w:rPr>
        <w:t xml:space="preserve">Figuur </w:t>
      </w:r>
      <w:r w:rsidR="00593664" w:rsidRPr="00593664">
        <w:rPr>
          <w:b/>
          <w:bCs/>
          <w:i/>
          <w:iCs/>
          <w:color w:val="747474" w:themeColor="background2" w:themeShade="80"/>
          <w:sz w:val="18"/>
          <w:szCs w:val="18"/>
        </w:rPr>
        <w:t>2</w:t>
      </w:r>
      <w:r w:rsidRPr="00593664">
        <w:rPr>
          <w:b/>
          <w:bCs/>
          <w:i/>
          <w:iCs/>
          <w:color w:val="747474" w:themeColor="background2" w:themeShade="80"/>
          <w:sz w:val="18"/>
          <w:szCs w:val="18"/>
        </w:rPr>
        <w:t>.</w:t>
      </w:r>
      <w:r w:rsidRPr="00593664">
        <w:rPr>
          <w:i/>
          <w:iCs/>
          <w:color w:val="747474" w:themeColor="background2" w:themeShade="80"/>
          <w:sz w:val="18"/>
          <w:szCs w:val="18"/>
        </w:rPr>
        <w:t xml:space="preserve"> Volcano plot van differentieel </w:t>
      </w:r>
      <w:proofErr w:type="spellStart"/>
      <w:r w:rsidRPr="00593664">
        <w:rPr>
          <w:i/>
          <w:iCs/>
          <w:color w:val="747474" w:themeColor="background2" w:themeShade="80"/>
          <w:sz w:val="18"/>
          <w:szCs w:val="18"/>
        </w:rPr>
        <w:t>geëxpresseerde</w:t>
      </w:r>
      <w:proofErr w:type="spellEnd"/>
      <w:r w:rsidRPr="00593664">
        <w:rPr>
          <w:i/>
          <w:iCs/>
          <w:color w:val="747474" w:themeColor="background2" w:themeShade="80"/>
          <w:sz w:val="18"/>
          <w:szCs w:val="18"/>
        </w:rPr>
        <w:t xml:space="preserve"> genen tussen RA-patiënten en controles. Rode punten representeren significant </w:t>
      </w:r>
      <w:proofErr w:type="spellStart"/>
      <w:r w:rsidRPr="00593664">
        <w:rPr>
          <w:i/>
          <w:iCs/>
          <w:color w:val="747474" w:themeColor="background2" w:themeShade="80"/>
          <w:sz w:val="18"/>
          <w:szCs w:val="18"/>
        </w:rPr>
        <w:t>opgereguleerde</w:t>
      </w:r>
      <w:proofErr w:type="spellEnd"/>
      <w:r w:rsidRPr="00593664">
        <w:rPr>
          <w:i/>
          <w:iCs/>
          <w:color w:val="747474" w:themeColor="background2" w:themeShade="80"/>
          <w:sz w:val="18"/>
          <w:szCs w:val="18"/>
        </w:rPr>
        <w:t xml:space="preserve"> genen, groene punten significant neer-gereguleerde genen en grijze punten niet-significante genen.</w:t>
      </w:r>
    </w:p>
    <w:p w14:paraId="513082FD" w14:textId="0F6EACDD" w:rsidR="007C3113" w:rsidRPr="007C3113" w:rsidRDefault="007C3113" w:rsidP="007C3113">
      <w:r w:rsidRPr="007C3113">
        <w:t xml:space="preserve">De Gene </w:t>
      </w:r>
      <w:proofErr w:type="spellStart"/>
      <w:r w:rsidRPr="007C3113">
        <w:t>Ontology</w:t>
      </w:r>
      <w:proofErr w:type="spellEnd"/>
      <w:r w:rsidRPr="007C3113">
        <w:t xml:space="preserve">-analyse liet zien dat verschillende </w:t>
      </w:r>
      <w:proofErr w:type="spellStart"/>
      <w:r w:rsidRPr="007C3113">
        <w:t>immuungerelateerde</w:t>
      </w:r>
      <w:proofErr w:type="spellEnd"/>
      <w:r w:rsidRPr="007C3113">
        <w:t xml:space="preserve"> processen significant verrijkt waren (Figuur </w:t>
      </w:r>
      <w:r w:rsidR="00593664">
        <w:t>3</w:t>
      </w:r>
      <w:r w:rsidRPr="007C3113">
        <w:t xml:space="preserve">). De meest verrijkte termen waren onder andere </w:t>
      </w:r>
      <w:proofErr w:type="spellStart"/>
      <w:r w:rsidRPr="007C3113">
        <w:rPr>
          <w:i/>
          <w:iCs/>
        </w:rPr>
        <w:t>immunoglobulin</w:t>
      </w:r>
      <w:proofErr w:type="spellEnd"/>
      <w:r w:rsidRPr="007C3113">
        <w:rPr>
          <w:i/>
          <w:iCs/>
        </w:rPr>
        <w:t xml:space="preserve"> complex</w:t>
      </w:r>
      <w:r w:rsidRPr="007C3113">
        <w:t xml:space="preserve">, </w:t>
      </w:r>
      <w:proofErr w:type="spellStart"/>
      <w:r w:rsidRPr="007C3113">
        <w:rPr>
          <w:i/>
          <w:iCs/>
        </w:rPr>
        <w:t>adaptive</w:t>
      </w:r>
      <w:proofErr w:type="spellEnd"/>
      <w:r w:rsidRPr="007C3113">
        <w:rPr>
          <w:i/>
          <w:iCs/>
        </w:rPr>
        <w:t xml:space="preserve"> immune response</w:t>
      </w:r>
      <w:r w:rsidRPr="007C3113">
        <w:t xml:space="preserve">, </w:t>
      </w:r>
      <w:proofErr w:type="spellStart"/>
      <w:r w:rsidRPr="007C3113">
        <w:rPr>
          <w:i/>
          <w:iCs/>
        </w:rPr>
        <w:t>leukocyte</w:t>
      </w:r>
      <w:proofErr w:type="spellEnd"/>
      <w:r w:rsidRPr="007C3113">
        <w:rPr>
          <w:i/>
          <w:iCs/>
        </w:rPr>
        <w:t xml:space="preserve"> </w:t>
      </w:r>
      <w:proofErr w:type="spellStart"/>
      <w:r w:rsidRPr="007C3113">
        <w:rPr>
          <w:i/>
          <w:iCs/>
        </w:rPr>
        <w:t>activation</w:t>
      </w:r>
      <w:proofErr w:type="spellEnd"/>
      <w:r w:rsidRPr="007C3113">
        <w:t xml:space="preserve">, </w:t>
      </w:r>
      <w:r w:rsidRPr="007C3113">
        <w:rPr>
          <w:i/>
          <w:iCs/>
        </w:rPr>
        <w:t>immune response</w:t>
      </w:r>
      <w:r w:rsidRPr="007C3113">
        <w:t xml:space="preserve"> en </w:t>
      </w:r>
      <w:r w:rsidRPr="007C3113">
        <w:rPr>
          <w:i/>
          <w:iCs/>
        </w:rPr>
        <w:t xml:space="preserve">immune system </w:t>
      </w:r>
      <w:proofErr w:type="spellStart"/>
      <w:r w:rsidRPr="007C3113">
        <w:rPr>
          <w:i/>
          <w:iCs/>
        </w:rPr>
        <w:t>process</w:t>
      </w:r>
      <w:proofErr w:type="spellEnd"/>
      <w:r w:rsidRPr="007C3113">
        <w:t xml:space="preserve">. Daarnaast werden ook algemene moleculaire functies zoals binding en </w:t>
      </w:r>
      <w:proofErr w:type="spellStart"/>
      <w:r w:rsidRPr="007C3113">
        <w:t>protein</w:t>
      </w:r>
      <w:proofErr w:type="spellEnd"/>
      <w:r w:rsidRPr="007C3113">
        <w:t xml:space="preserve"> binding geïdentificeerd.</w:t>
      </w:r>
    </w:p>
    <w:p w14:paraId="55A4BAC3" w14:textId="04420F8E" w:rsidR="007C3113" w:rsidRDefault="007C3113" w:rsidP="007C3113">
      <w:pPr>
        <w:rPr>
          <w:b/>
          <w:bCs/>
        </w:rPr>
      </w:pPr>
      <w:r>
        <w:rPr>
          <w:b/>
          <w:bCs/>
          <w:noProof/>
        </w:rPr>
        <w:lastRenderedPageBreak/>
        <w:drawing>
          <wp:inline distT="0" distB="0" distL="0" distR="0" wp14:anchorId="755B757A" wp14:editId="01BB4D30">
            <wp:extent cx="5760720" cy="5045710"/>
            <wp:effectExtent l="0" t="0" r="0" b="2540"/>
            <wp:docPr id="45853435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34357" name="Afbeelding 458534357"/>
                    <pic:cNvPicPr/>
                  </pic:nvPicPr>
                  <pic:blipFill>
                    <a:blip r:embed="rId9">
                      <a:extLst>
                        <a:ext uri="{28A0092B-C50C-407E-A947-70E740481C1C}">
                          <a14:useLocalDpi xmlns:a14="http://schemas.microsoft.com/office/drawing/2010/main" val="0"/>
                        </a:ext>
                      </a:extLst>
                    </a:blip>
                    <a:stretch>
                      <a:fillRect/>
                    </a:stretch>
                  </pic:blipFill>
                  <pic:spPr>
                    <a:xfrm>
                      <a:off x="0" y="0"/>
                      <a:ext cx="5760720" cy="5045710"/>
                    </a:xfrm>
                    <a:prstGeom prst="rect">
                      <a:avLst/>
                    </a:prstGeom>
                  </pic:spPr>
                </pic:pic>
              </a:graphicData>
            </a:graphic>
          </wp:inline>
        </w:drawing>
      </w:r>
    </w:p>
    <w:p w14:paraId="59929B15" w14:textId="77777777" w:rsidR="007C3113" w:rsidRDefault="007C3113" w:rsidP="007C3113">
      <w:pPr>
        <w:rPr>
          <w:b/>
          <w:bCs/>
        </w:rPr>
      </w:pPr>
    </w:p>
    <w:p w14:paraId="165115BF" w14:textId="6CF597AF" w:rsidR="007C3113" w:rsidRPr="00593664" w:rsidRDefault="007C3113" w:rsidP="007C3113">
      <w:pPr>
        <w:rPr>
          <w:i/>
          <w:iCs/>
          <w:color w:val="747474" w:themeColor="background2" w:themeShade="80"/>
          <w:sz w:val="18"/>
          <w:szCs w:val="18"/>
        </w:rPr>
      </w:pPr>
      <w:r w:rsidRPr="00593664">
        <w:rPr>
          <w:b/>
          <w:bCs/>
          <w:i/>
          <w:iCs/>
          <w:color w:val="747474" w:themeColor="background2" w:themeShade="80"/>
          <w:sz w:val="18"/>
          <w:szCs w:val="18"/>
        </w:rPr>
        <w:t xml:space="preserve">Figuur </w:t>
      </w:r>
      <w:r w:rsidR="00593664" w:rsidRPr="00593664">
        <w:rPr>
          <w:b/>
          <w:bCs/>
          <w:i/>
          <w:iCs/>
          <w:color w:val="747474" w:themeColor="background2" w:themeShade="80"/>
          <w:sz w:val="18"/>
          <w:szCs w:val="18"/>
        </w:rPr>
        <w:t>3</w:t>
      </w:r>
      <w:r w:rsidRPr="00593664">
        <w:rPr>
          <w:b/>
          <w:bCs/>
          <w:i/>
          <w:iCs/>
          <w:color w:val="747474" w:themeColor="background2" w:themeShade="80"/>
          <w:sz w:val="18"/>
          <w:szCs w:val="18"/>
        </w:rPr>
        <w:t>.</w:t>
      </w:r>
      <w:r w:rsidRPr="00593664">
        <w:rPr>
          <w:i/>
          <w:iCs/>
          <w:color w:val="747474" w:themeColor="background2" w:themeShade="80"/>
          <w:sz w:val="18"/>
          <w:szCs w:val="18"/>
        </w:rPr>
        <w:t xml:space="preserve"> Top 10 verrijkte GO-termen voor differentieel </w:t>
      </w:r>
      <w:proofErr w:type="spellStart"/>
      <w:r w:rsidRPr="00593664">
        <w:rPr>
          <w:i/>
          <w:iCs/>
          <w:color w:val="747474" w:themeColor="background2" w:themeShade="80"/>
          <w:sz w:val="18"/>
          <w:szCs w:val="18"/>
        </w:rPr>
        <w:t>geëxpresseerde</w:t>
      </w:r>
      <w:proofErr w:type="spellEnd"/>
      <w:r w:rsidRPr="00593664">
        <w:rPr>
          <w:i/>
          <w:iCs/>
          <w:color w:val="747474" w:themeColor="background2" w:themeShade="80"/>
          <w:sz w:val="18"/>
          <w:szCs w:val="18"/>
        </w:rPr>
        <w:t xml:space="preserve"> genen tussen RA-patiënten en controles. De grootte van de punten geeft het aantal differentieel </w:t>
      </w:r>
      <w:proofErr w:type="spellStart"/>
      <w:r w:rsidRPr="00593664">
        <w:rPr>
          <w:i/>
          <w:iCs/>
          <w:color w:val="747474" w:themeColor="background2" w:themeShade="80"/>
          <w:sz w:val="18"/>
          <w:szCs w:val="18"/>
        </w:rPr>
        <w:t>geëxpresseerde</w:t>
      </w:r>
      <w:proofErr w:type="spellEnd"/>
      <w:r w:rsidRPr="00593664">
        <w:rPr>
          <w:i/>
          <w:iCs/>
          <w:color w:val="747474" w:themeColor="background2" w:themeShade="80"/>
          <w:sz w:val="18"/>
          <w:szCs w:val="18"/>
        </w:rPr>
        <w:t xml:space="preserve"> genen weer, terwijl de kleur overeenkomt met de statistische significantie.</w:t>
      </w:r>
    </w:p>
    <w:p w14:paraId="7581D1AF" w14:textId="29E0AEF2" w:rsidR="002760BD" w:rsidRDefault="002760BD">
      <w:r>
        <w:t>O.b.v.</w:t>
      </w:r>
      <w:r w:rsidR="007C3113" w:rsidRPr="007C3113">
        <w:t xml:space="preserve"> deze resultaten werd de KEGG-</w:t>
      </w:r>
      <w:proofErr w:type="spellStart"/>
      <w:r w:rsidR="007C3113" w:rsidRPr="007C3113">
        <w:t>pathway</w:t>
      </w:r>
      <w:proofErr w:type="spellEnd"/>
      <w:r w:rsidR="007C3113" w:rsidRPr="007C3113">
        <w:t xml:space="preserve"> </w:t>
      </w:r>
      <w:r w:rsidR="007C3113" w:rsidRPr="007C3113">
        <w:rPr>
          <w:i/>
          <w:iCs/>
        </w:rPr>
        <w:t xml:space="preserve">B </w:t>
      </w:r>
      <w:proofErr w:type="spellStart"/>
      <w:r w:rsidR="007C3113" w:rsidRPr="007C3113">
        <w:rPr>
          <w:i/>
          <w:iCs/>
        </w:rPr>
        <w:t>cell</w:t>
      </w:r>
      <w:proofErr w:type="spellEnd"/>
      <w:r w:rsidR="007C3113" w:rsidRPr="007C3113">
        <w:rPr>
          <w:i/>
          <w:iCs/>
        </w:rPr>
        <w:t xml:space="preserve"> receptor </w:t>
      </w:r>
      <w:proofErr w:type="spellStart"/>
      <w:r w:rsidR="007C3113" w:rsidRPr="007C3113">
        <w:rPr>
          <w:i/>
          <w:iCs/>
        </w:rPr>
        <w:t>signaling</w:t>
      </w:r>
      <w:proofErr w:type="spellEnd"/>
      <w:r w:rsidR="007C3113" w:rsidRPr="007C3113">
        <w:rPr>
          <w:i/>
          <w:iCs/>
        </w:rPr>
        <w:t xml:space="preserve"> </w:t>
      </w:r>
      <w:proofErr w:type="spellStart"/>
      <w:r w:rsidR="007C3113" w:rsidRPr="007C3113">
        <w:rPr>
          <w:i/>
          <w:iCs/>
        </w:rPr>
        <w:t>pathway</w:t>
      </w:r>
      <w:proofErr w:type="spellEnd"/>
      <w:r w:rsidR="007C3113" w:rsidRPr="007C3113">
        <w:t xml:space="preserve"> (hsa04662) verder onderzocht. Binnen deze </w:t>
      </w:r>
      <w:proofErr w:type="spellStart"/>
      <w:r w:rsidR="007C3113" w:rsidRPr="007C3113">
        <w:t>pathway</w:t>
      </w:r>
      <w:proofErr w:type="spellEnd"/>
      <w:r w:rsidR="007C3113" w:rsidRPr="007C3113">
        <w:t xml:space="preserve"> werden meerdere genen met veranderde expressie geïdentificeerd (Figuur </w:t>
      </w:r>
      <w:r w:rsidR="00593664">
        <w:t>4</w:t>
      </w:r>
      <w:r w:rsidR="007C3113" w:rsidRPr="007C3113">
        <w:t>). Zowel verhoogde als verlaagde expressie van componenten binnen de B-cel signaleringscascade werden waargenomen. Verschillende genen betrokken bij signaaltransductie en activatie van B-cellen vertoonden veranderingen in expressie tussen de onderzochte groepen.</w:t>
      </w:r>
    </w:p>
    <w:p w14:paraId="517130C4" w14:textId="61CB542D" w:rsidR="002760BD" w:rsidRDefault="002760BD">
      <w:r>
        <w:rPr>
          <w:noProof/>
        </w:rPr>
        <w:lastRenderedPageBreak/>
        <w:drawing>
          <wp:inline distT="0" distB="0" distL="0" distR="0" wp14:anchorId="506939C8" wp14:editId="37F3AEAB">
            <wp:extent cx="3575311" cy="2325629"/>
            <wp:effectExtent l="0" t="0" r="6350" b="0"/>
            <wp:docPr id="8619204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2047" name="Afbeelding 861920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5311" cy="2325629"/>
                    </a:xfrm>
                    <a:prstGeom prst="rect">
                      <a:avLst/>
                    </a:prstGeom>
                  </pic:spPr>
                </pic:pic>
              </a:graphicData>
            </a:graphic>
          </wp:inline>
        </w:drawing>
      </w:r>
    </w:p>
    <w:p w14:paraId="0F130937" w14:textId="5A89E0A5" w:rsidR="002760BD" w:rsidRPr="00593664" w:rsidRDefault="002760BD">
      <w:pPr>
        <w:rPr>
          <w:i/>
          <w:iCs/>
          <w:color w:val="747474" w:themeColor="background2" w:themeShade="80"/>
          <w:sz w:val="18"/>
          <w:szCs w:val="18"/>
        </w:rPr>
      </w:pPr>
      <w:r w:rsidRPr="00593664">
        <w:rPr>
          <w:b/>
          <w:bCs/>
          <w:i/>
          <w:iCs/>
          <w:color w:val="747474" w:themeColor="background2" w:themeShade="80"/>
          <w:sz w:val="18"/>
          <w:szCs w:val="18"/>
        </w:rPr>
        <w:t xml:space="preserve">Figuur </w:t>
      </w:r>
      <w:r w:rsidR="00593664" w:rsidRPr="00593664">
        <w:rPr>
          <w:b/>
          <w:bCs/>
          <w:i/>
          <w:iCs/>
          <w:color w:val="747474" w:themeColor="background2" w:themeShade="80"/>
          <w:sz w:val="18"/>
          <w:szCs w:val="18"/>
        </w:rPr>
        <w:t>4</w:t>
      </w:r>
      <w:r w:rsidRPr="00593664">
        <w:rPr>
          <w:i/>
          <w:iCs/>
          <w:color w:val="747474" w:themeColor="background2" w:themeShade="80"/>
          <w:sz w:val="18"/>
          <w:szCs w:val="18"/>
        </w:rPr>
        <w:t>. KEGG B-</w:t>
      </w:r>
      <w:proofErr w:type="spellStart"/>
      <w:r w:rsidRPr="00593664">
        <w:rPr>
          <w:i/>
          <w:iCs/>
          <w:color w:val="747474" w:themeColor="background2" w:themeShade="80"/>
          <w:sz w:val="18"/>
          <w:szCs w:val="18"/>
        </w:rPr>
        <w:t>cell</w:t>
      </w:r>
      <w:proofErr w:type="spellEnd"/>
      <w:r w:rsidRPr="00593664">
        <w:rPr>
          <w:i/>
          <w:iCs/>
          <w:color w:val="747474" w:themeColor="background2" w:themeShade="80"/>
          <w:sz w:val="18"/>
          <w:szCs w:val="18"/>
        </w:rPr>
        <w:t xml:space="preserve"> receptor </w:t>
      </w:r>
      <w:proofErr w:type="spellStart"/>
      <w:r w:rsidRPr="00593664">
        <w:rPr>
          <w:i/>
          <w:iCs/>
          <w:color w:val="747474" w:themeColor="background2" w:themeShade="80"/>
          <w:sz w:val="18"/>
          <w:szCs w:val="18"/>
        </w:rPr>
        <w:t>signaling</w:t>
      </w:r>
      <w:proofErr w:type="spellEnd"/>
      <w:r w:rsidRPr="00593664">
        <w:rPr>
          <w:i/>
          <w:iCs/>
          <w:color w:val="747474" w:themeColor="background2" w:themeShade="80"/>
          <w:sz w:val="18"/>
          <w:szCs w:val="18"/>
        </w:rPr>
        <w:t xml:space="preserve"> </w:t>
      </w:r>
      <w:proofErr w:type="spellStart"/>
      <w:r w:rsidRPr="00593664">
        <w:rPr>
          <w:i/>
          <w:iCs/>
          <w:color w:val="747474" w:themeColor="background2" w:themeShade="80"/>
          <w:sz w:val="18"/>
          <w:szCs w:val="18"/>
        </w:rPr>
        <w:t>pathway</w:t>
      </w:r>
      <w:proofErr w:type="spellEnd"/>
      <w:r w:rsidRPr="00593664">
        <w:rPr>
          <w:i/>
          <w:iCs/>
          <w:color w:val="747474" w:themeColor="background2" w:themeShade="80"/>
          <w:sz w:val="18"/>
          <w:szCs w:val="18"/>
        </w:rPr>
        <w:t xml:space="preserve"> (hsa04662) met differentiële genexpressie. Rode vakken geven relatief verhoogde expressie aan, terwijl groene vakken relatief verlaagde expressie aangeven in RA ten opzichte van controles.</w:t>
      </w:r>
    </w:p>
    <w:p w14:paraId="57A2180E" w14:textId="77777777" w:rsidR="002760BD" w:rsidRPr="002760BD" w:rsidRDefault="002760BD" w:rsidP="002760BD">
      <w:pPr>
        <w:rPr>
          <w:b/>
          <w:bCs/>
        </w:rPr>
      </w:pPr>
      <w:r w:rsidRPr="002760BD">
        <w:rPr>
          <w:b/>
          <w:bCs/>
        </w:rPr>
        <w:t>Conclusie</w:t>
      </w:r>
    </w:p>
    <w:p w14:paraId="0081C814" w14:textId="77777777" w:rsidR="002760BD" w:rsidRPr="002760BD" w:rsidRDefault="002760BD" w:rsidP="002760BD">
      <w:r w:rsidRPr="002760BD">
        <w:t xml:space="preserve">In deze studie werd </w:t>
      </w:r>
      <w:proofErr w:type="spellStart"/>
      <w:r w:rsidRPr="002760BD">
        <w:t>transcriptomics</w:t>
      </w:r>
      <w:proofErr w:type="spellEnd"/>
      <w:r w:rsidRPr="002760BD">
        <w:t xml:space="preserve"> gebruikt om verschillen in genexpressie tussen </w:t>
      </w:r>
      <w:proofErr w:type="spellStart"/>
      <w:r w:rsidRPr="002760BD">
        <w:t>synoviumweefsel</w:t>
      </w:r>
      <w:proofErr w:type="spellEnd"/>
      <w:r w:rsidRPr="002760BD">
        <w:t xml:space="preserve"> van patiënten met reumatoïde artritis en controles te onderzoeken. De differentiële expressieanalyse identificeerde een groot aantal genen waarvan de expressie significant verschilde tussen beide groepen. De Gene </w:t>
      </w:r>
      <w:proofErr w:type="spellStart"/>
      <w:r w:rsidRPr="002760BD">
        <w:t>Ontology</w:t>
      </w:r>
      <w:proofErr w:type="spellEnd"/>
      <w:r w:rsidRPr="002760BD">
        <w:t xml:space="preserve">-analyse liet zien dat vooral </w:t>
      </w:r>
      <w:proofErr w:type="spellStart"/>
      <w:r w:rsidRPr="002760BD">
        <w:t>immuungerelateerde</w:t>
      </w:r>
      <w:proofErr w:type="spellEnd"/>
      <w:r w:rsidRPr="002760BD">
        <w:t xml:space="preserve"> processen, waaronder adaptieve immuunrespons, </w:t>
      </w:r>
      <w:proofErr w:type="spellStart"/>
      <w:r w:rsidRPr="002760BD">
        <w:t>immuunactivatie</w:t>
      </w:r>
      <w:proofErr w:type="spellEnd"/>
      <w:r w:rsidRPr="002760BD">
        <w:t xml:space="preserve"> en immunoglobuline-gerelateerde functies, sterk vertegenwoordigd waren.</w:t>
      </w:r>
    </w:p>
    <w:p w14:paraId="0DE54577" w14:textId="77777777" w:rsidR="002760BD" w:rsidRPr="002760BD" w:rsidRDefault="002760BD" w:rsidP="002760BD">
      <w:r w:rsidRPr="002760BD">
        <w:t>De daaropvolgende KEGG-analyse van de B-</w:t>
      </w:r>
      <w:proofErr w:type="spellStart"/>
      <w:r w:rsidRPr="002760BD">
        <w:t>cell</w:t>
      </w:r>
      <w:proofErr w:type="spellEnd"/>
      <w:r w:rsidRPr="002760BD">
        <w:t xml:space="preserve"> receptor </w:t>
      </w:r>
      <w:proofErr w:type="spellStart"/>
      <w:r w:rsidRPr="002760BD">
        <w:t>signaling</w:t>
      </w:r>
      <w:proofErr w:type="spellEnd"/>
      <w:r w:rsidRPr="002760BD">
        <w:t xml:space="preserve"> </w:t>
      </w:r>
      <w:proofErr w:type="spellStart"/>
      <w:r w:rsidRPr="002760BD">
        <w:t>pathway</w:t>
      </w:r>
      <w:proofErr w:type="spellEnd"/>
      <w:r w:rsidRPr="002760BD">
        <w:t xml:space="preserve"> toonde aan dat meerdere genen binnen deze route veranderingen in expressie vertoonden. Deze bevinding sluit aan bij de bekende rol van B-cellen en autoantistofproductie in de pathogenese van reumatoïde artritis. De aanwezigheid van verrijkte immunologische processen en veranderingen binnen B-</w:t>
      </w:r>
      <w:proofErr w:type="spellStart"/>
      <w:r w:rsidRPr="002760BD">
        <w:t>celgerelateerde</w:t>
      </w:r>
      <w:proofErr w:type="spellEnd"/>
      <w:r w:rsidRPr="002760BD">
        <w:t xml:space="preserve"> signaleringsroutes ondersteunt het belang van adaptieve </w:t>
      </w:r>
      <w:proofErr w:type="spellStart"/>
      <w:r w:rsidRPr="002760BD">
        <w:t>immuunmechanismen</w:t>
      </w:r>
      <w:proofErr w:type="spellEnd"/>
      <w:r w:rsidRPr="002760BD">
        <w:t xml:space="preserve"> bij deze ziekte.</w:t>
      </w:r>
    </w:p>
    <w:p w14:paraId="2FA6A16D" w14:textId="5CE196A5" w:rsidR="002760BD" w:rsidRDefault="002760BD" w:rsidP="002760BD">
      <w:r w:rsidRPr="002760BD">
        <w:t xml:space="preserve">Een beperking van deze studie is het relatief kleine aantal monsters en het gebruik van subsets van de oorspronkelijke </w:t>
      </w:r>
      <w:proofErr w:type="spellStart"/>
      <w:r w:rsidRPr="002760BD">
        <w:t>sequencingdata</w:t>
      </w:r>
      <w:proofErr w:type="spellEnd"/>
      <w:r w:rsidRPr="002760BD">
        <w:t xml:space="preserve">. Toekomstig onderzoek zou gebruik kunnen maken van grotere datasets en aanvullende </w:t>
      </w:r>
      <w:proofErr w:type="spellStart"/>
      <w:r w:rsidRPr="002760BD">
        <w:t>pathwayanalyses</w:t>
      </w:r>
      <w:proofErr w:type="spellEnd"/>
      <w:r w:rsidRPr="002760BD">
        <w:t xml:space="preserve"> om de betrokken moleculaire mechanismen verder te karakteriseren. Desondanks tonen de resultaten aan dat </w:t>
      </w:r>
      <w:proofErr w:type="spellStart"/>
      <w:r w:rsidRPr="002760BD">
        <w:t>transcriptomics</w:t>
      </w:r>
      <w:proofErr w:type="spellEnd"/>
      <w:r w:rsidRPr="002760BD">
        <w:t xml:space="preserve"> een waardevolle methode is om biologische processen en genen te identificeren die betrokken zijn bij de ontwikkeling van reumatoïde artritis.</w:t>
      </w:r>
    </w:p>
    <w:p w14:paraId="555D18E6" w14:textId="77777777" w:rsidR="002760BD" w:rsidRDefault="002760BD">
      <w:r>
        <w:br w:type="page"/>
      </w:r>
    </w:p>
    <w:p w14:paraId="68108595" w14:textId="77777777" w:rsidR="002760BD" w:rsidRPr="002760BD" w:rsidRDefault="002760BD" w:rsidP="002760BD"/>
    <w:p w14:paraId="268BA49C" w14:textId="77777777" w:rsidR="002760BD" w:rsidRPr="006834E8" w:rsidRDefault="002760BD" w:rsidP="002760BD">
      <w:pPr>
        <w:rPr>
          <w:b/>
          <w:bCs/>
        </w:rPr>
      </w:pPr>
      <w:r w:rsidRPr="006834E8">
        <w:rPr>
          <w:b/>
          <w:bCs/>
        </w:rPr>
        <w:t>Referenties</w:t>
      </w:r>
    </w:p>
    <w:p w14:paraId="33EE9BED" w14:textId="406C25E7" w:rsidR="00FD1741" w:rsidRPr="006834E8" w:rsidRDefault="00FD1741" w:rsidP="002760BD">
      <w:pPr>
        <w:rPr>
          <w:b/>
          <w:bCs/>
        </w:rPr>
      </w:pPr>
      <w:r w:rsidRPr="006834E8">
        <w:rPr>
          <w:b/>
          <w:bCs/>
        </w:rPr>
        <w:t xml:space="preserve">AI disclaimer </w:t>
      </w:r>
    </w:p>
    <w:p w14:paraId="0FF2B924" w14:textId="33310894" w:rsidR="00FD1741" w:rsidRPr="00FD1741" w:rsidRDefault="00FD1741" w:rsidP="002760BD">
      <w:r w:rsidRPr="00FD1741">
        <w:t>Voor h</w:t>
      </w:r>
      <w:r>
        <w:t>et maken van dit verslag is AI gebruikt voor het controleren van spelling en grammatica.</w:t>
      </w:r>
    </w:p>
    <w:p w14:paraId="0F53FF65" w14:textId="77777777" w:rsidR="002760BD" w:rsidRPr="006834E8" w:rsidRDefault="002760BD" w:rsidP="002760BD">
      <w:pPr>
        <w:rPr>
          <w:lang w:val="en-US"/>
        </w:rPr>
      </w:pPr>
      <w:r w:rsidRPr="006834E8">
        <w:rPr>
          <w:lang w:val="en-US"/>
        </w:rPr>
        <w:t xml:space="preserve">Gabriel, S. E. (2001). </w:t>
      </w:r>
      <w:r w:rsidRPr="002760BD">
        <w:rPr>
          <w:lang w:val="en-US"/>
        </w:rPr>
        <w:t xml:space="preserve">The epidemiology of rheumatoid arthritis. </w:t>
      </w:r>
      <w:r w:rsidRPr="006834E8">
        <w:rPr>
          <w:i/>
          <w:iCs/>
          <w:lang w:val="en-US"/>
        </w:rPr>
        <w:t>Rheumatic Disease Clinics of North America</w:t>
      </w:r>
      <w:r w:rsidRPr="006834E8">
        <w:rPr>
          <w:lang w:val="en-US"/>
        </w:rPr>
        <w:t xml:space="preserve">, 27(2), 269–281. </w:t>
      </w:r>
    </w:p>
    <w:p w14:paraId="24798382" w14:textId="77777777" w:rsidR="002760BD" w:rsidRPr="002760BD" w:rsidRDefault="002760BD" w:rsidP="002760BD">
      <w:pPr>
        <w:rPr>
          <w:lang w:val="en-US"/>
        </w:rPr>
      </w:pPr>
      <w:r w:rsidRPr="002760BD">
        <w:rPr>
          <w:lang w:val="en-US"/>
        </w:rPr>
        <w:t xml:space="preserve">Majithia, V., &amp; Geraci, S. A. (2007). Rheumatoid arthritis: Diagnosis and management. </w:t>
      </w:r>
      <w:r w:rsidRPr="002760BD">
        <w:rPr>
          <w:i/>
          <w:iCs/>
          <w:lang w:val="en-US"/>
        </w:rPr>
        <w:t>The American Journal of Medicine</w:t>
      </w:r>
      <w:r w:rsidRPr="002760BD">
        <w:rPr>
          <w:lang w:val="en-US"/>
        </w:rPr>
        <w:t xml:space="preserve">, 120(11), 936–939. </w:t>
      </w:r>
    </w:p>
    <w:p w14:paraId="64B6E672" w14:textId="77777777" w:rsidR="002760BD" w:rsidRPr="006834E8" w:rsidRDefault="002760BD" w:rsidP="002760BD">
      <w:pPr>
        <w:rPr>
          <w:lang w:val="en-US"/>
        </w:rPr>
      </w:pPr>
      <w:r w:rsidRPr="002760BD">
        <w:rPr>
          <w:lang w:val="en-US"/>
        </w:rPr>
        <w:t xml:space="preserve">McInnes, I. B., &amp; Schett, G. (2011). The pathogenesis of rheumatoid arthritis. </w:t>
      </w:r>
      <w:r w:rsidRPr="006834E8">
        <w:rPr>
          <w:lang w:val="en-US"/>
        </w:rPr>
        <w:t xml:space="preserve">The Pathogenesis of Rheumatoid Arthritis. </w:t>
      </w:r>
    </w:p>
    <w:p w14:paraId="57B3838C" w14:textId="77777777" w:rsidR="002760BD" w:rsidRPr="002760BD" w:rsidRDefault="002760BD" w:rsidP="002760BD">
      <w:pPr>
        <w:rPr>
          <w:lang w:val="en-US"/>
        </w:rPr>
      </w:pPr>
      <w:r w:rsidRPr="002760BD">
        <w:rPr>
          <w:lang w:val="en-US"/>
        </w:rPr>
        <w:t xml:space="preserve">Platzer, A. et al. (2019). Dataset source and synovial tissue transcriptomic analysis. </w:t>
      </w:r>
    </w:p>
    <w:p w14:paraId="1CCA6D6D" w14:textId="77777777" w:rsidR="002760BD" w:rsidRPr="006834E8" w:rsidRDefault="002760BD" w:rsidP="002760BD">
      <w:pPr>
        <w:rPr>
          <w:lang w:val="en-US"/>
        </w:rPr>
      </w:pPr>
      <w:proofErr w:type="spellStart"/>
      <w:r w:rsidRPr="002760BD">
        <w:t>Radu</w:t>
      </w:r>
      <w:proofErr w:type="spellEnd"/>
      <w:r w:rsidRPr="002760BD">
        <w:t xml:space="preserve">, A. F., &amp; </w:t>
      </w:r>
      <w:proofErr w:type="spellStart"/>
      <w:r w:rsidRPr="002760BD">
        <w:t>Bungau</w:t>
      </w:r>
      <w:proofErr w:type="spellEnd"/>
      <w:r w:rsidRPr="002760BD">
        <w:t xml:space="preserve">, S. G. (2021). </w:t>
      </w:r>
      <w:r w:rsidRPr="002760BD">
        <w:rPr>
          <w:lang w:val="en-US"/>
        </w:rPr>
        <w:t xml:space="preserve">Management of rheumatoid arthritis: An overview. </w:t>
      </w:r>
      <w:r w:rsidRPr="006834E8">
        <w:rPr>
          <w:i/>
          <w:iCs/>
          <w:lang w:val="en-US"/>
        </w:rPr>
        <w:t>Cells</w:t>
      </w:r>
      <w:r w:rsidRPr="006834E8">
        <w:rPr>
          <w:lang w:val="en-US"/>
        </w:rPr>
        <w:t xml:space="preserve">, 10(11), 2857. </w:t>
      </w:r>
    </w:p>
    <w:p w14:paraId="1CD4A0BA" w14:textId="77777777" w:rsidR="002760BD" w:rsidRPr="002760BD" w:rsidRDefault="002760BD" w:rsidP="002760BD">
      <w:r w:rsidRPr="002760BD">
        <w:rPr>
          <w:lang w:val="en-US"/>
        </w:rPr>
        <w:t xml:space="preserve">Smolen, J. S., </w:t>
      </w:r>
      <w:proofErr w:type="spellStart"/>
      <w:r w:rsidRPr="002760BD">
        <w:rPr>
          <w:lang w:val="en-US"/>
        </w:rPr>
        <w:t>Aletaha</w:t>
      </w:r>
      <w:proofErr w:type="spellEnd"/>
      <w:r w:rsidRPr="002760BD">
        <w:rPr>
          <w:lang w:val="en-US"/>
        </w:rPr>
        <w:t xml:space="preserve">, D., &amp; McInnes, I. B. (2016). Rheumatoid arthritis. </w:t>
      </w:r>
      <w:r w:rsidRPr="002760BD">
        <w:rPr>
          <w:i/>
          <w:iCs/>
        </w:rPr>
        <w:t>The Lancet</w:t>
      </w:r>
      <w:r w:rsidRPr="002760BD">
        <w:t>, 388(10055), 2023–2038.</w:t>
      </w:r>
    </w:p>
    <w:p w14:paraId="16E8DED8" w14:textId="4B114F32" w:rsidR="002760BD" w:rsidRPr="00007CEC" w:rsidRDefault="002760BD" w:rsidP="002760BD"/>
    <w:sectPr w:rsidR="002760BD" w:rsidRPr="00007CE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6D4FB" w14:textId="77777777" w:rsidR="00B91119" w:rsidRDefault="00B91119" w:rsidP="002760BD">
      <w:pPr>
        <w:spacing w:after="0" w:line="240" w:lineRule="auto"/>
      </w:pPr>
      <w:r>
        <w:separator/>
      </w:r>
    </w:p>
  </w:endnote>
  <w:endnote w:type="continuationSeparator" w:id="0">
    <w:p w14:paraId="71916096" w14:textId="77777777" w:rsidR="00B91119" w:rsidRDefault="00B91119" w:rsidP="00276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96490" w14:textId="77777777" w:rsidR="00B91119" w:rsidRDefault="00B91119" w:rsidP="002760BD">
      <w:pPr>
        <w:spacing w:after="0" w:line="240" w:lineRule="auto"/>
      </w:pPr>
      <w:r>
        <w:separator/>
      </w:r>
    </w:p>
  </w:footnote>
  <w:footnote w:type="continuationSeparator" w:id="0">
    <w:p w14:paraId="22BEA871" w14:textId="77777777" w:rsidR="00B91119" w:rsidRDefault="00B91119" w:rsidP="002760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2B8"/>
    <w:multiLevelType w:val="multilevel"/>
    <w:tmpl w:val="4688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66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113"/>
    <w:rsid w:val="00007CEC"/>
    <w:rsid w:val="001930BB"/>
    <w:rsid w:val="002760BD"/>
    <w:rsid w:val="004153C9"/>
    <w:rsid w:val="004D0B82"/>
    <w:rsid w:val="00582D15"/>
    <w:rsid w:val="00593664"/>
    <w:rsid w:val="006834E8"/>
    <w:rsid w:val="00750A45"/>
    <w:rsid w:val="007C3113"/>
    <w:rsid w:val="00921501"/>
    <w:rsid w:val="00AD7BFC"/>
    <w:rsid w:val="00B91119"/>
    <w:rsid w:val="00E2759E"/>
    <w:rsid w:val="00FD174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7E87"/>
  <w15:chartTrackingRefBased/>
  <w15:docId w15:val="{AB16A8A7-0BE2-46CB-98B0-F59B9997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C3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C3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C311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C311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C311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C311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C311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C311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C311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C311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C311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C311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C311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C311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C311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C311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C311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C3113"/>
    <w:rPr>
      <w:rFonts w:eastAsiaTheme="majorEastAsia" w:cstheme="majorBidi"/>
      <w:color w:val="272727" w:themeColor="text1" w:themeTint="D8"/>
    </w:rPr>
  </w:style>
  <w:style w:type="paragraph" w:styleId="Titel">
    <w:name w:val="Title"/>
    <w:basedOn w:val="Standaard"/>
    <w:next w:val="Standaard"/>
    <w:link w:val="TitelChar"/>
    <w:uiPriority w:val="10"/>
    <w:qFormat/>
    <w:rsid w:val="007C3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C311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C311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C311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C311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C3113"/>
    <w:rPr>
      <w:i/>
      <w:iCs/>
      <w:color w:val="404040" w:themeColor="text1" w:themeTint="BF"/>
    </w:rPr>
  </w:style>
  <w:style w:type="paragraph" w:styleId="Lijstalinea">
    <w:name w:val="List Paragraph"/>
    <w:basedOn w:val="Standaard"/>
    <w:uiPriority w:val="34"/>
    <w:qFormat/>
    <w:rsid w:val="007C3113"/>
    <w:pPr>
      <w:ind w:left="720"/>
      <w:contextualSpacing/>
    </w:pPr>
  </w:style>
  <w:style w:type="character" w:styleId="Intensievebenadrukking">
    <w:name w:val="Intense Emphasis"/>
    <w:basedOn w:val="Standaardalinea-lettertype"/>
    <w:uiPriority w:val="21"/>
    <w:qFormat/>
    <w:rsid w:val="007C3113"/>
    <w:rPr>
      <w:i/>
      <w:iCs/>
      <w:color w:val="0F4761" w:themeColor="accent1" w:themeShade="BF"/>
    </w:rPr>
  </w:style>
  <w:style w:type="paragraph" w:styleId="Duidelijkcitaat">
    <w:name w:val="Intense Quote"/>
    <w:basedOn w:val="Standaard"/>
    <w:next w:val="Standaard"/>
    <w:link w:val="DuidelijkcitaatChar"/>
    <w:uiPriority w:val="30"/>
    <w:qFormat/>
    <w:rsid w:val="007C3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C3113"/>
    <w:rPr>
      <w:i/>
      <w:iCs/>
      <w:color w:val="0F4761" w:themeColor="accent1" w:themeShade="BF"/>
    </w:rPr>
  </w:style>
  <w:style w:type="character" w:styleId="Intensieveverwijzing">
    <w:name w:val="Intense Reference"/>
    <w:basedOn w:val="Standaardalinea-lettertype"/>
    <w:uiPriority w:val="32"/>
    <w:qFormat/>
    <w:rsid w:val="007C3113"/>
    <w:rPr>
      <w:b/>
      <w:bCs/>
      <w:smallCaps/>
      <w:color w:val="0F4761" w:themeColor="accent1" w:themeShade="BF"/>
      <w:spacing w:val="5"/>
    </w:rPr>
  </w:style>
  <w:style w:type="paragraph" w:styleId="Koptekst">
    <w:name w:val="header"/>
    <w:basedOn w:val="Standaard"/>
    <w:link w:val="KoptekstChar"/>
    <w:uiPriority w:val="99"/>
    <w:unhideWhenUsed/>
    <w:rsid w:val="002760B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760BD"/>
  </w:style>
  <w:style w:type="paragraph" w:styleId="Voettekst">
    <w:name w:val="footer"/>
    <w:basedOn w:val="Standaard"/>
    <w:link w:val="VoettekstChar"/>
    <w:uiPriority w:val="99"/>
    <w:unhideWhenUsed/>
    <w:rsid w:val="002760B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76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Pages>
  <Words>1219</Words>
  <Characters>6705</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Yussef Daghli</dc:creator>
  <cp:keywords/>
  <dc:description/>
  <cp:lastModifiedBy>Yussef Daghli</cp:lastModifiedBy>
  <cp:revision>3</cp:revision>
  <dcterms:created xsi:type="dcterms:W3CDTF">2026-06-19T14:04:00Z</dcterms:created>
  <dcterms:modified xsi:type="dcterms:W3CDTF">2026-06-19T23:24:00Z</dcterms:modified>
</cp:coreProperties>
</file>