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rFonts w:ascii="Times New Roman" w:hAnsi="Times New Roman" w:cs="Times New Roman"/>
        </w:rPr>
      </w:pPr>
      <w:r>
        <w:rPr>
          <w:rFonts w:cs="Times New Roman" w:ascii="Times New Roman" w:hAnsi="Times New Roman"/>
        </w:rPr>
        <w:t>Calibration and Validation of High Quality Low-Cost 3D Printed Pulse Oximeter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Investigators</w:t>
      </w:r>
    </w:p>
    <w:p>
      <w:pPr>
        <w:pStyle w:val="Normal"/>
        <w:rPr>
          <w:rFonts w:ascii="Times New Roman" w:hAnsi="Times New Roman" w:cs="Times New Roman"/>
          <w:b/>
          <w:b/>
          <w:sz w:val="24"/>
          <w:szCs w:val="24"/>
        </w:rPr>
      </w:pPr>
      <w:r>
        <w:rPr>
          <w:rFonts w:cs="Times New Roman" w:ascii="Times New Roman" w:hAnsi="Times New Roman"/>
          <w:b/>
          <w:sz w:val="24"/>
          <w:szCs w:val="24"/>
        </w:rPr>
        <w:t>Tarek Loubani, MD. (PI) Department of Emergency Medicine, London Health Sciences Centre,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Student Investigator</w:t>
      </w:r>
    </w:p>
    <w:p>
      <w:pPr>
        <w:pStyle w:val="Normal"/>
        <w:rPr>
          <w:rFonts w:ascii="Times New Roman" w:hAnsi="Times New Roman" w:cs="Times New Roman"/>
          <w:sz w:val="24"/>
          <w:szCs w:val="24"/>
        </w:rPr>
      </w:pPr>
      <w:r>
        <w:rPr>
          <w:rFonts w:cs="Times New Roman" w:ascii="Times New Roman" w:hAnsi="Times New Roman"/>
          <w:sz w:val="24"/>
          <w:szCs w:val="24"/>
        </w:rPr>
        <w:t>Alexander Pavlosky. Schulich School of Medicine and Dentistry,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Background</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 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p>
      <w:pPr>
        <w:pStyle w:val="Normal"/>
        <w:rPr>
          <w:rFonts w:ascii="Times New Roman" w:hAnsi="Times New Roman" w:cs="Times New Roman"/>
          <w:sz w:val="24"/>
          <w:szCs w:val="24"/>
        </w:rPr>
      </w:pPr>
      <w:r>
        <w:rPr>
          <w:rFonts w:cs="Times New Roman" w:ascii="Times New Roman" w:hAnsi="Times New Roman"/>
          <w:b/>
          <w:sz w:val="24"/>
          <w:szCs w:val="24"/>
        </w:rPr>
        <w:t>Objectives</w:t>
      </w:r>
    </w:p>
    <w:p>
      <w:pPr>
        <w:pStyle w:val="Normal"/>
        <w:rPr>
          <w:rFonts w:ascii="Times New Roman" w:hAnsi="Times New Roman" w:cs="Times New Roman"/>
          <w:sz w:val="24"/>
          <w:szCs w:val="24"/>
        </w:rPr>
      </w:pPr>
      <w:r>
        <w:rPr>
          <w:rFonts w:cs="Times New Roman" w:ascii="Times New Roman" w:hAnsi="Times New Roman"/>
          <w:sz w:val="24"/>
          <w:szCs w:val="24"/>
        </w:rPr>
        <w:t xml:space="preserve">The purpose of this 2-Phase study is to calibrate a prototype pulse oximeter and to conduct an equivalence test to determine if the prototype is equivalent to the gold standard pulse oximeter. The primary objectives are </w:t>
      </w:r>
    </w:p>
    <w:p>
      <w:pPr>
        <w:pStyle w:val="Normal"/>
        <w:rPr>
          <w:rFonts w:ascii="Times New Roman" w:hAnsi="Times New Roman" w:cs="Times New Roman"/>
          <w:sz w:val="24"/>
          <w:szCs w:val="24"/>
        </w:rPr>
      </w:pPr>
      <w:r>
        <w:rPr>
          <w:rFonts w:cs="Times New Roman" w:ascii="Times New Roman" w:hAnsi="Times New Roman"/>
          <w:sz w:val="24"/>
          <w:szCs w:val="24"/>
        </w:rPr>
        <w:t xml:space="preserve">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w:t>
      </w:r>
    </w:p>
    <w:p>
      <w:pPr>
        <w:pStyle w:val="Normal"/>
        <w:rPr>
          <w:rFonts w:ascii="Times New Roman" w:hAnsi="Times New Roman" w:cs="Times New Roman"/>
          <w:b/>
          <w:b/>
          <w:sz w:val="24"/>
          <w:szCs w:val="24"/>
        </w:rPr>
      </w:pPr>
      <w:r>
        <w:rPr>
          <w:rFonts w:cs="Times New Roman" w:ascii="Times New Roman" w:hAnsi="Times New Roman"/>
          <w:sz w:val="24"/>
          <w:szCs w:val="24"/>
        </w:rPr>
        <w:t>2) to determine if the experimental pulse oximeter measurements correspond with the gold-standard pulse oximeter measurements; and 3) to determine if the prototype pulse oximeter is equivalent to the gold standard pulse oximeter.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Protocol</w:t>
      </w:r>
    </w:p>
    <w:p>
      <w:pPr>
        <w:pStyle w:val="Normal"/>
        <w:rPr>
          <w:rFonts w:ascii="Times New Roman" w:hAnsi="Times New Roman" w:cs="Times New Roman"/>
          <w:sz w:val="24"/>
          <w:szCs w:val="24"/>
        </w:rPr>
      </w:pPr>
      <w:r>
        <w:rPr>
          <w:rFonts w:cs="Times New Roman" w:ascii="Times New Roman" w:hAnsi="Times New Roman"/>
          <w:sz w:val="24"/>
          <w:szCs w:val="24"/>
        </w:rPr>
        <w:t>This clinical trial consists of 2 Phases. Phase 1 will include 50 healthy, non-smoking adults (greater than 18 years of age) to calibrate the experimental, 3D printed pulse oximiter. Participants will be recruited through e-mail advertisements and posters between June 1 – August 2018. Subjects will participate in both the experimental arm and the control arm as both oximeters will be used to simultaneously generate data during the desaturation study (see Test Protocol). 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June 1 and August 30, 2018. After going through the LOI and gaining documented written consent, the patient will be enrolled. All study procedures will be conducted in the ED (Victoria and University Hospital) at LHSC by the PI.</w:t>
      </w:r>
    </w:p>
    <w:p>
      <w:pPr>
        <w:pStyle w:val="Normal"/>
        <w:rPr>
          <w:rFonts w:ascii="Times New Roman" w:hAnsi="Times New Roman" w:cs="Times New Roman"/>
          <w:b/>
          <w:b/>
          <w:sz w:val="24"/>
          <w:szCs w:val="24"/>
        </w:rPr>
      </w:pPr>
      <w:r>
        <w:rPr>
          <w:rFonts w:cs="Times New Roman" w:ascii="Times New Roman" w:hAnsi="Times New Roman"/>
          <w:b/>
          <w:sz w:val="24"/>
          <w:szCs w:val="24"/>
        </w:rPr>
        <w:t>Test Protocol</w:t>
      </w:r>
    </w:p>
    <w:p>
      <w:pPr>
        <w:pStyle w:val="Normal"/>
        <w:rPr/>
      </w:pPr>
      <w:r>
        <w:rPr>
          <w:rFonts w:cs="Times New Roman" w:ascii="Times New Roman" w:hAnsi="Times New Roman"/>
          <w:sz w:val="24"/>
          <w:szCs w:val="24"/>
        </w:rPr>
        <w:t>All study procedures will be conducted in the emergency department (VH and UH) at LHSC with an emergency-trained physician (EP) present at all times (PI) between June 1, 2018 and December 31, 2019. Phase 1 (Calibration; approximately 50 participants; Sept 1, 2018 – April 30, 2019):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 (</w:t>
      </w:r>
      <w:r>
        <w:rPr>
          <w:rFonts w:cs="Times New Roman" w:ascii="Times New Roman" w:hAnsi="Times New Roman"/>
          <w:color w:val="3D3C40"/>
          <w:sz w:val="24"/>
          <w:szCs w:val="24"/>
          <w:shd w:fill="FFFFFF" w:val="clear"/>
        </w:rPr>
        <w:t xml:space="preserve">GE Carescape B850 Patient Monitor; license </w:t>
      </w:r>
      <w:r>
        <w:rPr>
          <w:rFonts w:cs="Times New Roman" w:ascii="Times New Roman" w:hAnsi="Times New Roman"/>
          <w:color w:val="3D3C40"/>
          <w:sz w:val="24"/>
          <w:szCs w:val="24"/>
          <w:shd w:fill="FFFFFF" w:val="clear"/>
        </w:rPr>
        <w:t>119340</w:t>
      </w:r>
      <w:r>
        <w:rPr>
          <w:rFonts w:cs="Times New Roman" w:ascii="Times New Roman" w:hAnsi="Times New Roman"/>
          <w:sz w:val="24"/>
          <w:szCs w:val="24"/>
        </w:rPr>
        <w:t xml:space="preserve">) will </w:t>
      </w:r>
      <w:bookmarkStart w:id="0" w:name="_GoBack"/>
      <w:bookmarkEnd w:id="0"/>
      <w:r>
        <w:rPr>
          <w:rFonts w:cs="Times New Roman" w:ascii="Times New Roman" w:hAnsi="Times New Roman"/>
          <w:sz w:val="24"/>
          <w:szCs w:val="24"/>
        </w:rPr>
        <w:t xml:space="preserve">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(Table 1). Phase 1 of the study will take approximately 60 minutes to complete. </w:t>
      </w:r>
    </w:p>
    <w:tbl>
      <w:tblPr>
        <w:tblStyle w:val="TableGrid"/>
        <w:tblW w:w="7790" w:type="dxa"/>
        <w:jc w:val="left"/>
        <w:tblInd w:w="0" w:type="dxa"/>
        <w:tblCellMar>
          <w:top w:w="0" w:type="dxa"/>
          <w:left w:w="103" w:type="dxa"/>
          <w:bottom w:w="0" w:type="dxa"/>
          <w:right w:w="108" w:type="dxa"/>
        </w:tblCellMar>
        <w:tblLook w:noVBand="1" w:val="04a0" w:noHBand="0" w:lastColumn="0" w:firstColumn="1" w:lastRow="0" w:firstRow="1"/>
      </w:tblPr>
      <w:tblGrid>
        <w:gridCol w:w="1558"/>
        <w:gridCol w:w="1558"/>
        <w:gridCol w:w="1558"/>
        <w:gridCol w:w="1558"/>
        <w:gridCol w:w="1558"/>
      </w:tblGrid>
      <w:tr>
        <w:trPr/>
        <w:tc>
          <w:tcPr>
            <w:tcW w:w="1558" w:type="dxa"/>
            <w:tcBorders/>
            <w:shd w:color="auto" w:fill="A6A6A6" w:themeFill="background1" w:themeFillShade="a6"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Step</w:t>
            </w:r>
          </w:p>
        </w:tc>
        <w:tc>
          <w:tcPr>
            <w:tcW w:w="1558" w:type="dxa"/>
            <w:tcBorders/>
            <w:shd w:color="auto" w:fill="A6A6A6" w:themeFill="background1" w:themeFillShade="a6"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SpO2</w:t>
            </w:r>
          </w:p>
        </w:tc>
        <w:tc>
          <w:tcPr>
            <w:tcW w:w="1558" w:type="dxa"/>
            <w:tcBorders/>
            <w:shd w:color="auto" w:fill="A6A6A6" w:themeFill="background1" w:themeFillShade="a6"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PetCO2</w:t>
            </w:r>
          </w:p>
        </w:tc>
        <w:tc>
          <w:tcPr>
            <w:tcW w:w="1558" w:type="dxa"/>
            <w:tcBorders/>
            <w:shd w:color="auto" w:fill="A6A6A6" w:themeFill="background1" w:themeFillShade="a6"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PetO2</w:t>
            </w:r>
          </w:p>
        </w:tc>
        <w:tc>
          <w:tcPr>
            <w:tcW w:w="1558" w:type="dxa"/>
            <w:tcBorders/>
            <w:shd w:color="auto" w:fill="A6A6A6" w:themeFill="background1" w:themeFillShade="a6"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G1 flow</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90-94</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85-89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80-84</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75-79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37</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Table 1: Respiract desaturation protocol </w:t>
      </w:r>
    </w:p>
    <w:p>
      <w:pPr>
        <w:pStyle w:val="Normal"/>
        <w:rPr>
          <w:rFonts w:ascii="Times New Roman" w:hAnsi="Times New Roman" w:cs="Times New Roman"/>
          <w:sz w:val="24"/>
          <w:szCs w:val="24"/>
        </w:rPr>
      </w:pPr>
      <w:r>
        <w:rPr>
          <w:rFonts w:cs="Times New Roman" w:ascii="Times New Roman" w:hAnsi="Times New Roman"/>
          <w:sz w:val="24"/>
          <w:szCs w:val="24"/>
        </w:rPr>
        <w:t>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May 1 - December 31, 2019.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Experimental Oximeter</w:t>
      </w:r>
    </w:p>
    <w:p>
      <w:pPr>
        <w:pStyle w:val="Normal"/>
        <w:rPr/>
      </w:pPr>
      <w:r>
        <w:rPr>
          <w:rFonts w:cs="Times New Roman" w:ascii="Times New Roman" w:hAnsi="Times New Roman"/>
          <w:sz w:val="24"/>
          <w:szCs w:val="24"/>
        </w:rPr>
        <w:t xml:space="preserve">The experimental oximeter will be manufactured by the research team </w:t>
      </w:r>
      <w:r>
        <w:rPr>
          <w:rFonts w:cs="Times New Roman" w:ascii="Times New Roman" w:hAnsi="Times New Roman"/>
          <w:sz w:val="24"/>
          <w:szCs w:val="24"/>
        </w:rPr>
        <w:t xml:space="preserve">in London, Ontario under </w:t>
      </w:r>
      <w:r>
        <w:rPr>
          <w:rFonts w:eastAsia="Calibri" w:cs="Times New Roman" w:ascii="Times New Roman" w:hAnsi="Times New Roman" w:eastAsiaTheme="minorHAnsi"/>
          <w:color w:val="00000A"/>
          <w:kern w:val="0"/>
          <w:sz w:val="24"/>
          <w:szCs w:val="24"/>
          <w:lang w:val="en-US" w:eastAsia="en-US" w:bidi="ar-SA"/>
        </w:rPr>
        <w:t>the</w:t>
      </w:r>
      <w:r>
        <w:rPr>
          <w:rFonts w:cs="Times New Roman" w:ascii="Times New Roman" w:hAnsi="Times New Roman"/>
          <w:sz w:val="24"/>
          <w:szCs w:val="24"/>
        </w:rPr>
        <w:t xml:space="preserve"> supervision of Glia Inc. (Corporation #924742-4; HC Company ID #141507)</w:t>
      </w:r>
      <w:r>
        <w:rPr>
          <w:rFonts w:cs="Times New Roman" w:ascii="Times New Roman" w:hAnsi="Times New Roman"/>
          <w:sz w:val="24"/>
          <w:szCs w:val="24"/>
        </w:rPr>
        <w:t>. A bill of materials can be found in Table 2. The oximeter has not been granted authorization for use in Canada.</w:t>
      </w:r>
    </w:p>
    <w:tbl>
      <w:tblPr>
        <w:tblStyle w:val="TableGrid"/>
        <w:tblW w:w="9355" w:type="dxa"/>
        <w:jc w:val="left"/>
        <w:tblInd w:w="0" w:type="dxa"/>
        <w:tblCellMar>
          <w:top w:w="0" w:type="dxa"/>
          <w:left w:w="103" w:type="dxa"/>
          <w:bottom w:w="0" w:type="dxa"/>
          <w:right w:w="108" w:type="dxa"/>
        </w:tblCellMar>
        <w:tblLook w:noVBand="1" w:val="04a0" w:noHBand="0" w:lastColumn="0" w:firstColumn="1" w:lastRow="0" w:firstRow="1"/>
      </w:tblPr>
      <w:tblGrid>
        <w:gridCol w:w="2632"/>
        <w:gridCol w:w="1938"/>
        <w:gridCol w:w="4075"/>
        <w:gridCol w:w="709"/>
      </w:tblGrid>
      <w:tr>
        <w:trPr>
          <w:ins w:id="0"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Mfr. #</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Manufacturer</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Description</w:t>
            </w:r>
          </w:p>
        </w:tc>
        <w:tc>
          <w:tcPr>
            <w:tcW w:w="709"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Order Qty.</w:t>
            </w:r>
          </w:p>
        </w:tc>
      </w:tr>
      <w:tr>
        <w:trPr>
          <w:ins w:id="1"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VJ0603V105MXQCW1BC</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1uF 10volts Y5V 20%</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w:t>
            </w:r>
          </w:p>
        </w:tc>
      </w:tr>
      <w:tr>
        <w:trPr>
          <w:ins w:id="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GRM188R60J475KE19D</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Murata</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4.7uF 6.3volts X5R 10%</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3"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06036D106MAT2A</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AVX</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6.3V 10uF X5R 0603 20% Tol HIGH CV</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4"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VJ0603Y104JXJPW1BC</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0.1uF 16volts X7R 5%</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r>
      <w:tr>
        <w:trPr>
          <w:ins w:id="5"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MCP1700T-3002E/TT</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Microchip</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LDO Voltage Regulators 250mA Adj LDO 2%</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6"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CRCW06032K00FKEA</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1/10watt 2.0Kohms 1%</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CRCW0603590KFKEA</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1/10watt 590Kohms 1%</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8"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CRCW02011M00FKED</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1/20watt 1Mohms 1% 100ppm</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r>
      <w:tr>
        <w:trPr>
          <w:ins w:id="9"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FSMSM</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 Connectivity</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Tactile Switches 3.5X6 SMT TACT TACT SWITCH</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10"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MCP1640T-I/CHY</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Microchip</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Voltage Regulators - Switching Regulators 500 kHz 300 mA Syn. PWM/PFM enabled</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1"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AT-2440-TWT-R</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PUI Audio</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Speakers &amp; Transducers 3V 80dBA 4000Hz</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744028004</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Wurth Electronics</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Fixed Inductors WE-TPC 2811 4.7uH .85A .265Ohm</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3"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STM32F030F4P6</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STMicroelectronics</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ARM Microcontrollers - MCU Value-Line ARM MCU 16kB 48 MHz</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4"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3-1734592-0</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 Connectivity</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FFC &amp; FPC Connectors 0.5mm PITCH B/C 30P</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5"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XG8S-0231</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Omron</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Headers &amp; Wire Housings Connector</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w:t>
            </w:r>
          </w:p>
        </w:tc>
      </w:tr>
      <w:tr>
        <w:trPr>
          <w:ins w:id="16"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SML-LX0603SRW-TR</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Lumex</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Super Red, 660nm 1.7V, 45mcd</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SML-LX0603SYW-TR</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Lumex</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Super Yellow, 590nm 2V, 60mcd</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8"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598-8030-107F</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Dialight</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Orange Water Clr 150mcd 610nm</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9"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APT1608F3C</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Kingbright</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Infrared Emitters IR 940nm 120 deg Water Clr 1.2 mW/sr</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20"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TSL13T</w:t>
            </w:r>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ams</w:t>
            </w:r>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Light To Frequency &amp; Light To Voltage Light to Voltage Converter</w:t>
            </w:r>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bl>
    <w:p>
      <w:pPr>
        <w:pStyle w:val="Normal"/>
        <w:rPr>
          <w:rFonts w:ascii="Times New Roman" w:hAnsi="Times New Roman" w:cs="Times New Roman"/>
          <w:b/>
          <w:b/>
          <w:sz w:val="24"/>
          <w:szCs w:val="24"/>
        </w:rPr>
      </w:pPr>
      <w:r>
        <w:rPr>
          <w:rFonts w:cs="Times New Roman" w:ascii="Times New Roman" w:hAnsi="Times New Roman"/>
          <w:b/>
          <w:sz w:val="24"/>
          <w:szCs w:val="24"/>
        </w:rPr>
        <w:t>Table 2: Bill of Materials of experimental oximeter.</w:t>
      </w:r>
    </w:p>
    <w:p>
      <w:pPr>
        <w:pStyle w:val="Normal"/>
        <w:rPr>
          <w:rFonts w:ascii="Times New Roman" w:hAnsi="Times New Roman" w:cs="Times New Roman"/>
          <w:sz w:val="24"/>
          <w:szCs w:val="24"/>
        </w:rPr>
      </w:pPr>
      <w:r>
        <w:rPr>
          <w:rFonts w:cs="Times New Roman" w:ascii="Times New Roman" w:hAnsi="Times New Roman"/>
          <w:b/>
          <w:sz w:val="24"/>
          <w:szCs w:val="24"/>
        </w:rPr>
        <w:t>Subjects</w:t>
      </w:r>
    </w:p>
    <w:p>
      <w:pPr>
        <w:pStyle w:val="TableContents"/>
        <w:rPr>
          <w:rFonts w:ascii="Times New Roman" w:hAnsi="Times New Roman" w:cs="Times New Roman"/>
        </w:rPr>
      </w:pPr>
      <w:r>
        <w:rPr>
          <w:rFonts w:cs="Times New Roman" w:ascii="Times New Roman" w:hAnsi="Times New Roman"/>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rFonts w:ascii="Times New Roman" w:hAnsi="Times New Roman" w:cs="Times New Roman"/>
          <w:sz w:val="24"/>
          <w:szCs w:val="24"/>
        </w:rPr>
      </w:pPr>
      <w:r>
        <w:rPr>
          <w:rFonts w:cs="Times New Roman" w:ascii="Times New Roman" w:hAnsi="Times New Roman"/>
          <w:sz w:val="24"/>
          <w:szCs w:val="24"/>
        </w:rPr>
        <w:t>Phase 1 sample size</w:t>
      </w:r>
    </w:p>
    <w:p>
      <w:pPr>
        <w:pStyle w:val="TextBody"/>
        <w:rPr>
          <w:rFonts w:ascii="Times New Roman" w:hAnsi="Times New Roman" w:cs="Times New Roman"/>
        </w:rPr>
      </w:pPr>
      <w:r>
        <w:rPr>
          <w:rFonts w:cs="Times New Roman" w:ascii="Times New Roman" w:hAnsi="Times New Roman"/>
        </w:rPr>
        <w:t>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interim analysis at 25-30 patients.</w:t>
      </w:r>
    </w:p>
    <w:p>
      <w:pPr>
        <w:pStyle w:val="Heading3"/>
        <w:rPr>
          <w:rFonts w:ascii="Times New Roman" w:hAnsi="Times New Roman" w:cs="Times New Roman"/>
          <w:sz w:val="24"/>
          <w:szCs w:val="24"/>
        </w:rPr>
      </w:pPr>
      <w:r>
        <w:rPr>
          <w:rFonts w:cs="Times New Roman" w:ascii="Times New Roman" w:hAnsi="Times New Roman"/>
          <w:sz w:val="24"/>
          <w:szCs w:val="24"/>
        </w:rPr>
        <w:t>Phase 3 Sample Size</w:t>
      </w:r>
    </w:p>
    <w:p>
      <w:pPr>
        <w:pStyle w:val="TextBody"/>
        <w:widowControl/>
        <w:rPr>
          <w:rFonts w:ascii="Times New Roman" w:hAnsi="Times New Roman" w:cs="Times New Roman"/>
        </w:rPr>
      </w:pPr>
      <w:r>
        <w:rPr>
          <w:rFonts w:cs="Times New Roman" w:ascii="Times New Roman" w:hAnsi="Times New Roman"/>
          <w:color w:val="000000"/>
        </w:rPr>
        <w:t>The phase 3 sample size was calculated in the following way: 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p>
    <w:p>
      <w:pPr>
        <w:pStyle w:val="TextBody"/>
        <w:widowControl/>
        <w:rPr>
          <w:rFonts w:ascii="Times New Roman" w:hAnsi="Times New Roman" w:cs="Times New Roman"/>
        </w:rPr>
      </w:pPr>
      <w:r>
        <w:rPr>
          <w:rFonts w:cs="Times New Roman" w:ascii="Times New Roman" w:hAnsi="Times New Roman"/>
          <w:color w:val="000000"/>
        </w:rPr>
        <w:t>Blackwelder (Controlled Clinical Trials 1982; 3: 345-353) proposes a solution. If a difference between the two treatments, call it D, is specified that </w:t>
      </w:r>
      <w:r>
        <w:rPr>
          <w:rStyle w:val="Emphasis"/>
          <w:rFonts w:cs="Times New Roman" w:ascii="Times New Roman" w:hAnsi="Times New Roman"/>
          <w:color w:val="000000"/>
        </w:rPr>
        <w:t>practically</w:t>
      </w:r>
      <w:r>
        <w:rPr>
          <w:rFonts w:cs="Times New Roman" w:ascii="Times New Roman" w:hAnsi="Times New Roman"/>
          <w:color w:val="000000"/>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p>
    <w:p>
      <w:pPr>
        <w:pStyle w:val="TextBody"/>
        <w:widowControl/>
        <w:rPr>
          <w:rFonts w:ascii="Times New Roman" w:hAnsi="Times New Roman" w:cs="Times New Roman"/>
          <w:color w:val="000000"/>
        </w:rPr>
      </w:pPr>
      <w:r>
        <w:rPr>
          <w:rFonts w:cs="Times New Roman" w:ascii="Times New Roman" w:hAnsi="Times New Roman"/>
          <w:color w:val="000000"/>
        </w:rPr>
        <w:t>The sample size needed to reject this hypothesis at alpha = 0.05 and beta = 0.20 (power of 80%) is:</w:t>
      </w:r>
    </w:p>
    <w:p>
      <w:pPr>
        <w:pStyle w:val="TextBody"/>
        <w:widowControl/>
        <w:rPr>
          <w:rFonts w:ascii="Times New Roman" w:hAnsi="Times New Roman" w:cs="Times New Roman"/>
          <w:color w:val="000000"/>
        </w:rPr>
      </w:pPr>
      <w:r>
        <w:rPr>
          <w:rFonts w:cs="Times New Roman" w:ascii="Times New Roman" w:hAnsi="Times New Roman"/>
          <w:color w:val="000000"/>
        </w:rPr>
        <w:t>(Z 0.95 + Z 0.80)2 [Ps(1-Ps) + Pn(1-Pn)] / (Ps-Pn-D)2</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We made the following assumptions: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1) "response rate" being the proportion of correct readings, assuming a 4% variance is .96 in both the "gold standard" and "new pulse ox" groups.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2) A practical difference (accepted clinical difference between the novel and standard device) of also 4%.</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With these numbers, we requ</w:t>
      </w:r>
      <w:r>
        <w:rPr>
          <w:rStyle w:val="StrongEmphasis"/>
          <w:rFonts w:cs="Times New Roman" w:ascii="Times New Roman" w:hAnsi="Times New Roman"/>
          <w:b w:val="false"/>
          <w:bCs w:val="false"/>
          <w:color w:val="00000A"/>
        </w:rPr>
        <w:t xml:space="preserve">ire 296 patients/volunteers in </w:t>
      </w:r>
      <w:r>
        <w:rPr>
          <w:rStyle w:val="StrongEmphasis"/>
          <w:rFonts w:cs="Times New Roman" w:ascii="Times New Roman" w:hAnsi="Times New Roman"/>
          <w:b w:val="false"/>
          <w:bCs w:val="false"/>
          <w:color w:val="000000"/>
        </w:rPr>
        <w:t>both groups. Equivalence is hard to prove and has the highest sample size needed. We rounded this number up to 350 to account for unexpected variability or difficulties.</w:t>
      </w:r>
    </w:p>
    <w:p>
      <w:pPr>
        <w:pStyle w:val="Normal"/>
        <w:rPr>
          <w:rFonts w:ascii="Times New Roman" w:hAnsi="Times New Roman" w:cs="Times New Roman"/>
          <w:sz w:val="24"/>
          <w:szCs w:val="24"/>
        </w:rPr>
      </w:pPr>
      <w:r>
        <w:rPr>
          <w:rStyle w:val="StrongEmphasis"/>
          <w:rFonts w:cs="Times New Roman" w:ascii="Times New Roman" w:hAnsi="Times New Roman"/>
          <w:b w:val="false"/>
          <w:bCs w:val="false"/>
          <w:color w:val="000000"/>
          <w:sz w:val="24"/>
          <w:szCs w:val="24"/>
        </w:rPr>
        <w:t>If we desired a non-inferiority study, those numbers go down significa</w:t>
      </w:r>
      <w:r>
        <w:rPr>
          <w:rStyle w:val="StrongEmphasis"/>
          <w:rFonts w:cs="Times New Roman" w:ascii="Times New Roman" w:hAnsi="Times New Roman"/>
          <w:b w:val="false"/>
          <w:bCs w:val="false"/>
          <w:color w:val="00000A"/>
          <w:sz w:val="24"/>
          <w:szCs w:val="24"/>
        </w:rPr>
        <w:t>ntly to 13/grou</w:t>
      </w:r>
      <w:r>
        <w:rPr>
          <w:rFonts w:cs="Times New Roman" w:ascii="Times New Roman" w:hAnsi="Times New Roman"/>
          <w:color w:val="00000A"/>
          <w:sz w:val="24"/>
          <w:szCs w:val="24"/>
        </w:rPr>
        <w:t>p</w:t>
      </w:r>
      <w:r>
        <w:rPr>
          <w:rStyle w:val="StrongEmphasis"/>
          <w:rFonts w:cs="Times New Roman" w:ascii="Times New Roman" w:hAnsi="Times New Roman"/>
          <w:b w:val="false"/>
          <w:bCs w:val="false"/>
          <w:color w:val="00000A"/>
          <w:sz w:val="24"/>
          <w:szCs w:val="24"/>
        </w:rPr>
        <w:t>. If</w:t>
      </w:r>
      <w:r>
        <w:rPr>
          <w:rStyle w:val="StrongEmphasis"/>
          <w:rFonts w:cs="Times New Roman" w:ascii="Times New Roman" w:hAnsi="Times New Roman"/>
          <w:b w:val="false"/>
          <w:bCs w:val="false"/>
          <w:sz w:val="24"/>
          <w:szCs w:val="24"/>
        </w:rPr>
        <w:t xml:space="preserve"> there is truly no difference between the standard and 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 trial.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Inclusion Criteria</w:t>
      </w:r>
    </w:p>
    <w:p>
      <w:pPr>
        <w:pStyle w:val="Normal"/>
        <w:rPr>
          <w:rFonts w:ascii="Times New Roman" w:hAnsi="Times New Roman" w:cs="Times New Roman"/>
          <w:sz w:val="24"/>
          <w:szCs w:val="24"/>
        </w:rPr>
      </w:pPr>
      <w:r>
        <w:rPr>
          <w:rFonts w:cs="Times New Roman" w:ascii="Times New Roman" w:hAnsi="Times New Roman"/>
          <w:sz w:val="24"/>
          <w:szCs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Exclusion Criteria</w:t>
      </w:r>
    </w:p>
    <w:p>
      <w:pPr>
        <w:pStyle w:val="Normal"/>
        <w:rPr>
          <w:rFonts w:ascii="Times New Roman" w:hAnsi="Times New Roman" w:cs="Times New Roman"/>
          <w:sz w:val="24"/>
          <w:szCs w:val="24"/>
        </w:rPr>
      </w:pPr>
      <w:r>
        <w:rPr>
          <w:rFonts w:cs="Times New Roman" w:ascii="Times New Roman" w:hAnsi="Times New Roman"/>
          <w:sz w:val="24"/>
          <w:szCs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Stopping rules</w:t>
      </w:r>
    </w:p>
    <w:p>
      <w:pPr>
        <w:pStyle w:val="Normal"/>
        <w:rPr>
          <w:rFonts w:ascii="Times New Roman" w:hAnsi="Times New Roman" w:cs="Times New Roman"/>
          <w:sz w:val="24"/>
          <w:szCs w:val="24"/>
        </w:rPr>
      </w:pPr>
      <w:r>
        <w:rPr>
          <w:rFonts w:cs="Times New Roman" w:ascii="Times New Roman" w:hAnsi="Times New Roman"/>
          <w:sz w:val="24"/>
          <w:szCs w:val="24"/>
        </w:rPr>
        <w:t>Subject wishes to withdraw from the protocol.</w:t>
      </w:r>
    </w:p>
    <w:p>
      <w:pPr>
        <w:pStyle w:val="Normal"/>
        <w:rPr>
          <w:rFonts w:ascii="Times New Roman" w:hAnsi="Times New Roman" w:cs="Times New Roman"/>
          <w:sz w:val="24"/>
          <w:szCs w:val="24"/>
        </w:rPr>
      </w:pPr>
      <w:r>
        <w:rPr>
          <w:rFonts w:cs="Times New Roman" w:ascii="Times New Roman" w:hAnsi="Times New Roman"/>
          <w:sz w:val="24"/>
          <w:szCs w:val="24"/>
        </w:rPr>
        <w:t>Subject feels untoward in any way.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rPr>
          <w:rFonts w:ascii="Times New Roman" w:hAnsi="Times New Roman" w:cs="Times New Roman"/>
          <w:sz w:val="24"/>
          <w:szCs w:val="24"/>
        </w:rPr>
      </w:pPr>
      <w:r>
        <w:rPr>
          <w:rFonts w:cs="Times New Roman" w:ascii="Times New Roman" w:hAnsi="Times New Roman"/>
          <w:sz w:val="24"/>
          <w:szCs w:val="24"/>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Placebo or comparator</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p>
      <w:pPr>
        <w:pStyle w:val="Normal"/>
        <w:rPr>
          <w:rFonts w:ascii="Times New Roman" w:hAnsi="Times New Roman" w:cs="Times New Roman"/>
          <w:sz w:val="24"/>
          <w:szCs w:val="24"/>
        </w:rPr>
      </w:pPr>
      <w:r>
        <w:rPr>
          <w:rFonts w:cs="Times New Roman" w:ascii="Times New Roman" w:hAnsi="Times New Roman"/>
          <w:b/>
          <w:sz w:val="24"/>
          <w:szCs w:val="24"/>
        </w:rPr>
        <w:t>Risks and harms</w:t>
      </w:r>
    </w:p>
    <w:p>
      <w:pPr>
        <w:pStyle w:val="Normal"/>
        <w:rPr>
          <w:rFonts w:ascii="Times New Roman" w:hAnsi="Times New Roman" w:cs="Times New Roman"/>
          <w:sz w:val="24"/>
          <w:szCs w:val="24"/>
        </w:rPr>
      </w:pPr>
      <w:r>
        <w:rPr>
          <w:rFonts w:cs="Times New Roman" w:ascii="Times New Roman" w:hAnsi="Times New Roman"/>
          <w:sz w:val="24"/>
          <w:szCs w:val="24"/>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p>
      <w:pPr>
        <w:pStyle w:val="Normal"/>
        <w:rPr>
          <w:rFonts w:ascii="Times New Roman" w:hAnsi="Times New Roman" w:cs="Times New Roman"/>
          <w:sz w:val="24"/>
          <w:szCs w:val="24"/>
        </w:rPr>
      </w:pPr>
      <w:r>
        <w:rPr>
          <w:rFonts w:cs="Times New Roman" w:ascii="Times New Roman" w:hAnsi="Times New Roman"/>
          <w:sz w:val="24"/>
          <w:szCs w:val="24"/>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Informed consent</w:t>
      </w:r>
    </w:p>
    <w:p>
      <w:pPr>
        <w:pStyle w:val="Normal"/>
        <w:widowControl/>
        <w:bidi w:val="0"/>
        <w:spacing w:lineRule="auto" w:line="259" w:before="0" w:after="160"/>
        <w:jc w:val="left"/>
        <w:rPr/>
      </w:pPr>
      <w:r>
        <w:rPr>
          <w:rFonts w:cs="Times New Roman" w:ascii="Times New Roman" w:hAnsi="Times New Roman"/>
          <w:sz w:val="24"/>
          <w:szCs w:val="24"/>
        </w:rP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3">
    <w:name w:val="Heading 3"/>
    <w:basedOn w:val="Normal"/>
    <w:link w:val="Heading3Char"/>
    <w:qFormat/>
    <w:rsid w:val="00e3544b"/>
    <w:pPr>
      <w:keepNext w:val="true"/>
      <w:widowControl w:val="false"/>
      <w:spacing w:lineRule="auto" w:line="240" w:before="140" w:after="120"/>
      <w:outlineLvl w:val="2"/>
    </w:pPr>
    <w:rPr>
      <w:rFonts w:ascii="Liberation Serif" w:hAnsi="Liberation Serif" w:eastAsia="Noto Sans CJK SC Regular" w:cs="FreeSans"/>
      <w:b/>
      <w:bCs/>
      <w:sz w:val="28"/>
      <w:szCs w:val="28"/>
      <w:lang w:val="en-CA"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e3544b"/>
    <w:rPr>
      <w:rFonts w:ascii="Liberation Serif" w:hAnsi="Liberation Serif" w:eastAsia="Noto Sans CJK SC Regular" w:cs="FreeSans"/>
      <w:sz w:val="24"/>
      <w:szCs w:val="24"/>
      <w:lang w:val="en-CA" w:eastAsia="zh-CN" w:bidi="hi-IN"/>
    </w:rPr>
  </w:style>
  <w:style w:type="character" w:styleId="Heading3Char" w:customStyle="1">
    <w:name w:val="Heading 3 Char"/>
    <w:basedOn w:val="DefaultParagraphFont"/>
    <w:link w:val="Heading3"/>
    <w:qFormat/>
    <w:rsid w:val="00e3544b"/>
    <w:rPr>
      <w:rFonts w:ascii="Liberation Serif" w:hAnsi="Liberation Serif" w:eastAsia="Noto Sans CJK SC Regular" w:cs="FreeSans"/>
      <w:b/>
      <w:bCs/>
      <w:sz w:val="28"/>
      <w:szCs w:val="28"/>
      <w:lang w:val="en-CA" w:eastAsia="zh-CN" w:bidi="hi-IN"/>
    </w:rPr>
  </w:style>
  <w:style w:type="character" w:styleId="Emphasis">
    <w:name w:val="Emphasis"/>
    <w:qFormat/>
    <w:rsid w:val="00e3544b"/>
    <w:rPr>
      <w:i/>
      <w:iCs/>
    </w:rPr>
  </w:style>
  <w:style w:type="character" w:styleId="StrongEmphasis" w:customStyle="1">
    <w:name w:val="Strong Emphasis"/>
    <w:qFormat/>
    <w:rsid w:val="00e3544b"/>
    <w:rPr>
      <w:b/>
      <w:bCs/>
    </w:rPr>
  </w:style>
  <w:style w:type="character" w:styleId="BalloonTextChar" w:customStyle="1">
    <w:name w:val="Balloon Text Char"/>
    <w:basedOn w:val="DefaultParagraphFont"/>
    <w:link w:val="BalloonText"/>
    <w:uiPriority w:val="99"/>
    <w:semiHidden/>
    <w:qFormat/>
    <w:rsid w:val="00545b98"/>
    <w:rPr>
      <w:rFonts w:ascii="Segoe UI" w:hAnsi="Segoe UI" w:cs="Segoe UI"/>
      <w:sz w:val="18"/>
      <w:szCs w:val="18"/>
    </w:rPr>
  </w:style>
  <w:style w:type="character" w:styleId="InternetLink">
    <w:name w:val="Internet Link"/>
    <w:basedOn w:val="DefaultParagraphFont"/>
    <w:uiPriority w:val="99"/>
    <w:semiHidden/>
    <w:unhideWhenUsed/>
    <w:rsid w:val="00fc3d8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link w:val="BodyTextChar"/>
    <w:rsid w:val="00e3544b"/>
    <w:pPr>
      <w:widowControl w:val="false"/>
      <w:spacing w:lineRule="auto" w:line="240" w:before="0" w:after="283"/>
    </w:pPr>
    <w:rPr>
      <w:rFonts w:ascii="Liberation Serif" w:hAnsi="Liberation Serif" w:eastAsia="Noto Sans CJK SC Regular" w:cs="FreeSans"/>
      <w:sz w:val="24"/>
      <w:szCs w:val="24"/>
      <w:lang w:val="en-CA"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TextBody"/>
    <w:qFormat/>
    <w:rsid w:val="00e3544b"/>
    <w:pPr/>
    <w:rPr/>
  </w:style>
  <w:style w:type="paragraph" w:styleId="BalloonText">
    <w:name w:val="Balloon Text"/>
    <w:basedOn w:val="Normal"/>
    <w:link w:val="BalloonTextChar"/>
    <w:uiPriority w:val="99"/>
    <w:semiHidden/>
    <w:unhideWhenUsed/>
    <w:qFormat/>
    <w:rsid w:val="00545b9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54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51f81"/>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LibreOffice/5.4.2.2$Linux_X86_64 LibreOffice_project/40m0$Build-2</Application>
  <Pages>8</Pages>
  <Words>2887</Words>
  <Characters>15872</Characters>
  <CharactersWithSpaces>18587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2018-01-10T02:05:00Z</dcterms:created>
  <dc:creator>Alexander William Pavlosky</dc:creator>
  <dc:description/>
  <dc:language>en-US</dc:language>
  <cp:lastModifiedBy>Tarek Loubani</cp:lastModifiedBy>
  <dcterms:modified xsi:type="dcterms:W3CDTF">2018-01-10T01:32:23Z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