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This clinical trial consists of 2 Phases. Phase 1 will include 50 healthy, non-smoking adults (greater than 18 years of age) to calibrate the experimental, 3D printed pulse oximiter. Participants will be recruited through e-mail advertisements and posters between June 1 – August 2018. Subjects will participate in both the experimental arm and the control arm as both oximeters will be used to simultaneously generate data during the desaturation study (see Test Protocol).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June 1 and August 30, 2018.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All study procedures will be conducted in the emergency department (VH and UH) at LHSC with an emergency-trained physician (EP) present at all times (PI) between June 1, 2018 and December 31, 2019. Phase 1 (Calibration; approximately 50 participants; Sept 1, 2018 – April 30, 2019):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t>
      </w:r>
      <w:r>
        <w:rPr>
          <w:rFonts w:cs="Times New Roman" w:ascii="Times New Roman" w:hAnsi="Times New Roman"/>
          <w:color w:val="3D3C40"/>
          <w:sz w:val="24"/>
          <w:szCs w:val="24"/>
          <w:shd w:fill="FFFFFF" w:val="clear"/>
        </w:rPr>
        <w:t xml:space="preserve">GE Carescape B850 Patient Monitor; license </w:t>
      </w:r>
      <w:hyperlink r:id="rId2">
        <w:r>
          <w:rPr>
            <w:rStyle w:val="InternetLink"/>
            <w:rFonts w:cs="Times New Roman" w:ascii="Times New Roman" w:hAnsi="Times New Roman"/>
            <w:color w:val="7834BC"/>
            <w:sz w:val="24"/>
            <w:szCs w:val="24"/>
            <w:highlight w:val="white"/>
          </w:rPr>
          <w:t>119340</w:t>
        </w:r>
      </w:hyperlink>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0" w:type="dxa"/>
        <w:tblCellMar>
          <w:top w:w="0" w:type="dxa"/>
          <w:left w:w="108"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rFonts w:ascii="Times New Roman" w:hAnsi="Times New Roman" w:cs="Times New Roman"/>
          <w:sz w:val="24"/>
          <w:szCs w:val="24"/>
        </w:rPr>
      </w:pPr>
      <w:r>
        <w:rPr>
          <w:rFonts w:cs="Times New Roman" w:ascii="Times New Roman" w:hAnsi="Times New Roman"/>
          <w:sz w:val="24"/>
          <w:szCs w:val="24"/>
        </w:rPr>
        <w:t>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May 1 - December 31, 2019.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Experimental Oximeter</w:t>
      </w:r>
    </w:p>
    <w:p>
      <w:pPr>
        <w:pStyle w:val="Normal"/>
        <w:rPr/>
      </w:pPr>
      <w:r>
        <w:rPr>
          <w:rFonts w:cs="Times New Roman" w:ascii="Times New Roman" w:hAnsi="Times New Roman"/>
          <w:sz w:val="24"/>
          <w:szCs w:val="24"/>
        </w:rPr>
        <w:t>The experimental oximeter will be manufactured by the research team. A bill of materials can be found in Table 2. The oximeter has not been granted authorization for use in Canada.</w:t>
      </w:r>
    </w:p>
    <w:tbl>
      <w:tblPr>
        <w:tblStyle w:val="TableGrid"/>
        <w:tblW w:w="9355" w:type="dxa"/>
        <w:jc w:val="left"/>
        <w:tblInd w:w="0" w:type="dxa"/>
        <w:tblCellMar>
          <w:top w:w="0" w:type="dxa"/>
          <w:left w:w="108" w:type="dxa"/>
          <w:bottom w:w="0" w:type="dxa"/>
          <w:right w:w="108" w:type="dxa"/>
        </w:tblCellMar>
        <w:tblLook w:noVBand="1" w:val="04a0" w:noHBand="0" w:lastColumn="0" w:firstColumn="1" w:lastRow="0" w:firstRow="1"/>
      </w:tblPr>
      <w:tblGrid>
        <w:gridCol w:w="2632"/>
        <w:gridCol w:w="1938"/>
        <w:gridCol w:w="4075"/>
        <w:gridCol w:w="709"/>
      </w:tblGrid>
      <w:tr>
        <w:trPr>
          <w:ins w:id="0"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Mfr. #</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Manufacturer</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Description</w:t>
            </w:r>
          </w:p>
        </w:tc>
        <w:tc>
          <w:tcPr>
            <w:tcW w:w="709"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Order Qty.</w:t>
            </w:r>
          </w:p>
        </w:tc>
      </w:tr>
      <w:tr>
        <w:trPr>
          <w:ins w:id="1"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VJ0603V105MXQCW1BC</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1uF 10volts Y5V 20%</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w:t>
            </w:r>
          </w:p>
        </w:tc>
      </w:tr>
      <w:tr>
        <w:trPr>
          <w:ins w:id="2"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GRM188R60J475KE19D</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Murata</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4.7uF 6.3volts X5R 10%</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3"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06036D106MAT2A</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AVX</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6.3V 10uF X5R 0603 20% Tol HIGH CV</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VJ0603Y104JXJPW1BC</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Multilayer Ceramic Capacitors MLCC - SMD/SMT 0603 0.1uF 16volts X7R 5%</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w:t>
            </w:r>
          </w:p>
        </w:tc>
      </w:tr>
      <w:tr>
        <w:trPr>
          <w:ins w:id="5"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MCP1700T-3002E/TT</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LDO Voltage Regulators 250mA Adj LDO 2%</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6"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CRCW06032K00FKEA</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2.0Kohms 1%</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7"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CRCW0603590KFKEA</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1/10watt 590Kohms 1%</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8"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CRCW02011M00FKED</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Vishay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Thick Film Resistors - SMD 1/20watt 1Mohms 1% 100ppm</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w:t>
            </w:r>
          </w:p>
        </w:tc>
      </w:tr>
      <w:tr>
        <w:trPr>
          <w:ins w:id="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FSMSM</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Tactile Switches 3.5X6 SMT TACT TACT SWITCH</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r>
      <w:tr>
        <w:trPr>
          <w:ins w:id="10"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MCP1640T-I/CHY</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Microchip</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Voltage Regulators - Switching Regulators 500 kHz 300 mA Syn. PWM/PFM enabled</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1"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AT-2440-TWT-R</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PUI Audio</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Speakers &amp; Transducers 3V 80dBA 4000Hz</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2"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744028004</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Wurth Electronics</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Fixed Inductors WE-TPC 2811 4.7uH .85A .265Ohm</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3"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STM32F030F4P6</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STMicroelectronics</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ARM Microcontrollers - MCU Value-Line ARM MCU 16kB 48 MHz</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4"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3-1734592-0</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 Connectivity</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FFC &amp; FPC Connectors 0.5mm PITCH B/C 30P</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5"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XG8S-0231</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Omron</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Headers &amp; Wire Housings Connector</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25</w:t>
            </w:r>
          </w:p>
        </w:tc>
      </w:tr>
      <w:tr>
        <w:trPr>
          <w:ins w:id="16"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SML-LX0603SRW-TR</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Red, 660nm 1.7V, 45mcd</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7"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SML-LX0603SYW-TR</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Lumex</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Super Yellow, 590nm 2V, 60mcd</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8"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598-8030-107F</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Dialight</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Standard LEDs - SMD Orange Water Clr 150mcd 610nm</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19"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APT1608F3C</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Kingbright</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Infrared Emitters IR 940nm 120 deg Water Clr 1.2 mW/sr</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r>
        <w:trPr>
          <w:ins w:id="20" w:author="Alex" w:date="2018-01-09T21:01:00Z"/>
          <w:trHeight w:val="300" w:hRule="atLeast"/>
        </w:trPr>
        <w:tc>
          <w:tcPr>
            <w:tcW w:w="2632"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TSL13T</w:t>
            </w:r>
          </w:p>
        </w:tc>
        <w:tc>
          <w:tcPr>
            <w:tcW w:w="1938"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ams</w:t>
            </w:r>
          </w:p>
        </w:tc>
        <w:tc>
          <w:tcPr>
            <w:tcW w:w="4075" w:type="dxa"/>
            <w:tcBorders/>
            <w:shd w:color="auto" w:fill="FFFFFF" w:themeFill="background1" w:val="clear"/>
            <w:tcMar>
              <w:left w:w="108"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Light To Frequency &amp; Light To Voltage Light to Voltage Converter</w:t>
            </w:r>
          </w:p>
        </w:tc>
        <w:tc>
          <w:tcPr>
            <w:tcW w:w="709" w:type="dxa"/>
            <w:tcBorders/>
            <w:shd w:color="auto" w:fill="FFFFFF" w:themeFill="background1" w:val="clear"/>
            <w:tcMar>
              <w:left w:w="108" w:type="dxa"/>
            </w:tcMar>
          </w:tcPr>
          <w:p>
            <w:pPr>
              <w:pStyle w:val="Normal"/>
              <w:spacing w:lineRule="auto" w:line="240" w:before="0" w:after="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r>
    </w:tbl>
    <w:p>
      <w:pPr>
        <w:pStyle w:val="Normal"/>
        <w:rPr>
          <w:rFonts w:ascii="Times New Roman" w:hAnsi="Times New Roman" w:cs="Times New Roman"/>
          <w:b/>
          <w:b/>
          <w:sz w:val="24"/>
          <w:szCs w:val="24"/>
        </w:rPr>
      </w:pPr>
      <w:r>
        <w:rPr>
          <w:rFonts w:cs="Times New Roman" w:ascii="Times New Roman" w:hAnsi="Times New Roman"/>
          <w:b/>
          <w:sz w:val="24"/>
          <w:szCs w:val="24"/>
        </w:rPr>
        <w:t>Table 2: Bill of Materials of experimental oximeter.</w:t>
      </w:r>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require</w:t>
      </w:r>
      <w:r>
        <w:rPr>
          <w:rStyle w:val="StrongEmphasis"/>
          <w:rFonts w:cs="Times New Roman" w:ascii="Times New Roman" w:hAnsi="Times New Roman"/>
          <w:b w:val="false"/>
          <w:bCs w:val="false"/>
          <w:color w:val="FF0000"/>
        </w:rPr>
        <w:t xml:space="preserve"> 296 patients/volunteers</w:t>
      </w:r>
      <w:r>
        <w:rPr>
          <w:rStyle w:val="StrongEmphasis"/>
          <w:rFonts w:cs="Times New Roman" w:ascii="Times New Roman" w:hAnsi="Times New Roman"/>
          <w:b w:val="false"/>
          <w:bCs w:val="false"/>
          <w:color w:val="000000"/>
        </w:rPr>
        <w:t xml:space="preserve"> in 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 xml:space="preserve">If we desired a non-inferiority study, those numbers go down significantly to </w:t>
      </w:r>
      <w:r>
        <w:rPr>
          <w:rStyle w:val="StrongEmphasis"/>
          <w:rFonts w:cs="Times New Roman" w:ascii="Times New Roman" w:hAnsi="Times New Roman"/>
          <w:b w:val="false"/>
          <w:bCs w:val="false"/>
          <w:color w:val="FF0000"/>
          <w:sz w:val="24"/>
          <w:szCs w:val="24"/>
        </w:rPr>
        <w:t>13/grou</w:t>
      </w:r>
      <w:r>
        <w:rPr>
          <w:rFonts w:cs="Times New Roman" w:ascii="Times New Roman" w:hAnsi="Times New Roman"/>
          <w:color w:val="FF0000"/>
          <w:sz w:val="24"/>
          <w:szCs w:val="24"/>
        </w:rPr>
        <w:t>p</w:t>
      </w:r>
      <w:r>
        <w:rPr>
          <w:rStyle w:val="StrongEmphasis"/>
          <w:rFonts w:cs="Times New Roman" w:ascii="Times New Roman" w:hAnsi="Times New Roman"/>
          <w:b w:val="false"/>
          <w:bCs w:val="false"/>
          <w:sz w:val="24"/>
          <w:szCs w:val="24"/>
        </w:rPr>
        <w:t>. If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TextBody"/>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LibreOffice/5.4.2.2$Linux_X86_64 LibreOffice_project/40m0$Build-2</Application>
  <Pages>8</Pages>
  <Words>2872</Words>
  <Characters>15786</Characters>
  <CharactersWithSpaces>18487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2018-01-09T23:37:39Z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