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600"/>
        <w:jc w:val="center"/>
      </w:pPr>
      <w:r>
        <w:rPr>
          <w:rFonts w:ascii="Arial" w:cs="Arial" w:eastAsia="Arial" w:hAnsi="Arial"/>
          <w:b/>
          <w:bCs/>
          <w:color w:val="1A365D"/>
          <w:sz w:val="96"/>
          <w:szCs w:val="96"/>
        </w:rPr>
        <w:t xml:space="preserve">ONDE</w:t>
      </w:r>
    </w:p>
    <w:p>
      <w:pPr>
        <w:spacing w:after="200"/>
        <w:jc w:val="center"/>
      </w:pPr>
      <w:r>
        <w:rPr>
          <w:rFonts w:ascii="Arial" w:cs="Arial" w:eastAsia="Arial" w:hAnsi="Arial"/>
          <w:color w:val="2B6CB0"/>
          <w:sz w:val="32"/>
          <w:szCs w:val="32"/>
        </w:rPr>
        <w:t xml:space="preserve">PUBLISHING HOUSE</w:t>
      </w:r>
    </w:p>
    <w:p>
      <w:pPr>
        <w:spacing w:before="600" w:after="1200"/>
        <w:jc w:val="center"/>
      </w:pPr>
      <w:r>
        <w:rPr>
          <w:rFonts w:ascii="Georgia" w:cs="Georgia" w:eastAsia="Georgia" w:hAnsi="Georgia"/>
          <w:i/>
          <w:iCs/>
          <w:color w:val="2D3748"/>
          <w:sz w:val="36"/>
          <w:szCs w:val="36"/>
        </w:rPr>
        <w:t xml:space="preserve">Brand Identity &amp; Visual Strategy Research</w:t>
      </w:r>
    </w:p>
    <w:p>
      <w:pPr>
        <w:spacing w:after="200"/>
        <w:jc w:val="center"/>
      </w:pPr>
      <w:r>
        <w:rPr>
          <w:rFonts w:ascii="Georgia" w:cs="Georgia" w:eastAsia="Georgia" w:hAnsi="Georgia"/>
          <w:color w:val="718096"/>
          <w:sz w:val="24"/>
          <w:szCs w:val="24"/>
        </w:rPr>
        <w:t xml:space="preserve">Strategic recommendations for visual identity across publishing verticals</w:t>
      </w:r>
    </w:p>
    <w:p>
      <w:pPr>
        <w:spacing w:before="1800"/>
        <w:jc w:val="center"/>
      </w:pPr>
      <w:r>
        <w:rPr>
          <w:rFonts w:ascii="Arial" w:cs="Arial" w:eastAsia="Arial" w:hAnsi="Arial"/>
          <w:color w:val="718096"/>
          <w:sz w:val="24"/>
          <w:szCs w:val="24"/>
        </w:rPr>
        <w:t xml:space="preserve">January 2026</w:t>
      </w:r>
    </w:p>
    <w:p>
      <w:r>
        <w:br w:type="page"/>
      </w:r>
    </w:p>
    <w:p>
      <w:pPr>
        <w:pStyle w:val="Heading1"/>
      </w:pPr>
      <w:r>
        <w:t xml:space="preserve">Executive Summary</w:t>
      </w:r>
    </w:p>
    <w:p>
      <w:pPr>
        <w:spacing w:after="200"/>
      </w:pPr>
      <w:r>
        <w:rPr>
          <w:sz w:val="24"/>
          <w:szCs w:val="24"/>
        </w:rPr>
        <w:t xml:space="preserve">This research document presents a comprehensive analysis of visual identity strategies for Onde, a publishing house with a bold vision spanning multiple verticals: classic literature (poetry, spirituality, tech, art), AI-generated children's books, tech manuals, and educational content for apps and games.</w:t>
      </w:r>
    </w:p>
    <w:p>
      <w:pPr>
        <w:spacing w:after="200"/>
      </w:pPr>
      <w:r>
        <w:rPr>
          <w:sz w:val="24"/>
          <w:szCs w:val="24"/>
        </w:rPr>
        <w:t xml:space="preserve">After extensive analysis of industry best practices, publishing house architectures, and visual design trends across each vertical, my strategic recommendation is: </w:t>
      </w:r>
      <w:r>
        <w:rPr>
          <w:b/>
          <w:bCs/>
          <w:sz w:val="24"/>
          <w:szCs w:val="24"/>
        </w:rPr>
        <w:t xml:space="preserve">a Hybrid Endorsed Model with a Flexible Design System.</w:t>
      </w:r>
    </w:p>
    <w:p>
      <w:pPr>
        <w:spacing w:after="200"/>
      </w:pPr>
      <w:r>
        <w:rPr>
          <w:sz w:val="24"/>
          <w:szCs w:val="24"/>
        </w:rPr>
        <w:t xml:space="preserve">This means Onde maintains a strong parent brand identity while developing 2-3 distinct visual sub-identities (or "chains") that share core DNA but have unique personalities appropriate to their audiences.</w:t>
      </w:r>
    </w:p>
    <w:p>
      <w:r>
        <w:br w:type="page"/>
      </w:r>
    </w:p>
    <w:p>
      <w:pPr>
        <w:pStyle w:val="Heading1"/>
      </w:pPr>
      <w:r>
        <w:t xml:space="preserve">Part 1: Brand Architecture Analysis</w:t>
      </w:r>
    </w:p>
    <w:p>
      <w:pPr>
        <w:pStyle w:val="Heading2"/>
      </w:pPr>
      <w:r>
        <w:t xml:space="preserve">Understanding Brand Architecture Models</w:t>
      </w:r>
    </w:p>
    <w:p>
      <w:pPr>
        <w:spacing w:after="200"/>
      </w:pPr>
      <w:r>
        <w:rPr>
          <w:sz w:val="24"/>
          <w:szCs w:val="24"/>
        </w:rPr>
        <w:t xml:space="preserve">In publishing, brand architecture refers to how a company organizes its imprints, product lines, and visual identities. Three primary models exist: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718096" w:sz="1"/>
              <w:left w:val="single" w:color="718096" w:sz="1"/>
              <w:bottom w:val="single" w:color="718096" w:sz="1"/>
              <w:right w:val="single" w:color="718096"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3510"/>
            <w:tcBorders>
              <w:top w:val="single" w:color="718096" w:sz="1"/>
              <w:left w:val="single" w:color="718096" w:sz="1"/>
              <w:bottom w:val="single" w:color="718096" w:sz="1"/>
              <w:right w:val="single" w:color="718096"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510"/>
            <w:tcBorders>
              <w:top w:val="single" w:color="718096" w:sz="1"/>
              <w:left w:val="single" w:color="718096" w:sz="1"/>
              <w:bottom w:val="single" w:color="718096" w:sz="1"/>
              <w:right w:val="single" w:color="718096"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Examples</w:t>
            </w:r>
          </w:p>
        </w:tc>
      </w:tr>
      <w:tr>
        <w:tc>
          <w:tcPr>
            <w:tcW w:type="dxa" w:w="2340"/>
            <w:tcBorders>
              <w:top w:val="single" w:color="718096" w:sz="1"/>
              <w:left w:val="single" w:color="718096" w:sz="1"/>
              <w:bottom w:val="single" w:color="718096" w:sz="1"/>
              <w:right w:val="single" w:color="718096" w:sz="1"/>
            </w:tcBorders>
            <w:tcMar>
              <w:top w:type="dxa" w:w="80"/>
              <w:left w:type="dxa" w:w="120"/>
              <w:bottom w:type="dxa" w:w="80"/>
              <w:right w:type="dxa" w:w="120"/>
            </w:tcMar>
          </w:tcPr>
          <w:p>
            <w:r>
              <w:rPr>
                <w:rFonts w:ascii="Arial" w:cs="Arial" w:eastAsia="Arial" w:hAnsi="Arial"/>
                <w:b/>
                <w:bCs/>
                <w:sz w:val="22"/>
                <w:szCs w:val="22"/>
              </w:rPr>
              <w:t xml:space="preserve">Branded House</w:t>
            </w:r>
          </w:p>
        </w:tc>
        <w:tc>
          <w:tcPr>
            <w:tcW w:type="dxa" w:w="3510"/>
            <w:tcBorders>
              <w:top w:val="single" w:color="718096" w:sz="1"/>
              <w:left w:val="single" w:color="718096" w:sz="1"/>
              <w:bottom w:val="single" w:color="718096" w:sz="1"/>
              <w:right w:val="single" w:color="718096" w:sz="1"/>
            </w:tcBorders>
            <w:tcMar>
              <w:top w:type="dxa" w:w="80"/>
              <w:left w:type="dxa" w:w="120"/>
              <w:bottom w:type="dxa" w:w="80"/>
              <w:right w:type="dxa" w:w="120"/>
            </w:tcMar>
          </w:tcPr>
          <w:p>
            <w:r>
              <w:rPr>
                <w:rFonts w:ascii="Georgia" w:cs="Georgia" w:eastAsia="Georgia" w:hAnsi="Georgia"/>
                <w:sz w:val="22"/>
                <w:szCs w:val="22"/>
              </w:rPr>
              <w:t xml:space="preserve">Single unified brand identity across all products. Maximum brand recognition but less flexibility for diverse audiences.</w:t>
            </w:r>
          </w:p>
        </w:tc>
        <w:tc>
          <w:tcPr>
            <w:tcW w:type="dxa" w:w="3510"/>
            <w:tcBorders>
              <w:top w:val="single" w:color="718096" w:sz="1"/>
              <w:left w:val="single" w:color="718096" w:sz="1"/>
              <w:bottom w:val="single" w:color="718096" w:sz="1"/>
              <w:right w:val="single" w:color="718096" w:sz="1"/>
            </w:tcBorders>
            <w:tcMar>
              <w:top w:type="dxa" w:w="80"/>
              <w:left w:type="dxa" w:w="120"/>
              <w:bottom w:type="dxa" w:w="80"/>
              <w:right w:type="dxa" w:w="120"/>
            </w:tcMar>
          </w:tcPr>
          <w:p>
            <w:r>
              <w:rPr>
                <w:rFonts w:ascii="Georgia" w:cs="Georgia" w:eastAsia="Georgia" w:hAnsi="Georgia"/>
                <w:sz w:val="22"/>
                <w:szCs w:val="22"/>
              </w:rPr>
              <w:t xml:space="preserve">FedEx (FedEx Express, FedEx Ground), Virgin, original Penguin Books</w:t>
            </w:r>
          </w:p>
        </w:tc>
      </w:tr>
      <w:tr>
        <w:tc>
          <w:tcPr>
            <w:tcW w:type="dxa" w:w="2340"/>
            <w:tcBorders>
              <w:top w:val="single" w:color="718096" w:sz="1"/>
              <w:left w:val="single" w:color="718096" w:sz="1"/>
              <w:bottom w:val="single" w:color="718096" w:sz="1"/>
              <w:right w:val="single" w:color="718096" w:sz="1"/>
            </w:tcBorders>
            <w:tcMar>
              <w:top w:type="dxa" w:w="80"/>
              <w:left w:type="dxa" w:w="120"/>
              <w:bottom w:type="dxa" w:w="80"/>
              <w:right w:type="dxa" w:w="120"/>
            </w:tcMar>
          </w:tcPr>
          <w:p>
            <w:r>
              <w:rPr>
                <w:rFonts w:ascii="Arial" w:cs="Arial" w:eastAsia="Arial" w:hAnsi="Arial"/>
                <w:b/>
                <w:bCs/>
                <w:sz w:val="22"/>
                <w:szCs w:val="22"/>
              </w:rPr>
              <w:t xml:space="preserve">House of Brands</w:t>
            </w:r>
          </w:p>
        </w:tc>
        <w:tc>
          <w:tcPr>
            <w:tcW w:type="dxa" w:w="3510"/>
            <w:tcBorders>
              <w:top w:val="single" w:color="718096" w:sz="1"/>
              <w:left w:val="single" w:color="718096" w:sz="1"/>
              <w:bottom w:val="single" w:color="718096" w:sz="1"/>
              <w:right w:val="single" w:color="718096" w:sz="1"/>
            </w:tcBorders>
            <w:tcMar>
              <w:top w:type="dxa" w:w="80"/>
              <w:left w:type="dxa" w:w="120"/>
              <w:bottom w:type="dxa" w:w="80"/>
              <w:right w:type="dxa" w:w="120"/>
            </w:tcMar>
          </w:tcPr>
          <w:p>
            <w:r>
              <w:rPr>
                <w:rFonts w:ascii="Georgia" w:cs="Georgia" w:eastAsia="Georgia" w:hAnsi="Georgia"/>
                <w:sz w:val="22"/>
                <w:szCs w:val="22"/>
              </w:rPr>
              <w:t xml:space="preserve">Each sub-brand has its own distinct identity with minimal visible connection to parent. Maximum flexibility but higher marketing costs.</w:t>
            </w:r>
          </w:p>
        </w:tc>
        <w:tc>
          <w:tcPr>
            <w:tcW w:type="dxa" w:w="3510"/>
            <w:tcBorders>
              <w:top w:val="single" w:color="718096" w:sz="1"/>
              <w:left w:val="single" w:color="718096" w:sz="1"/>
              <w:bottom w:val="single" w:color="718096" w:sz="1"/>
              <w:right w:val="single" w:color="718096" w:sz="1"/>
            </w:tcBorders>
            <w:tcMar>
              <w:top w:type="dxa" w:w="80"/>
              <w:left w:type="dxa" w:w="120"/>
              <w:bottom w:type="dxa" w:w="80"/>
              <w:right w:type="dxa" w:w="120"/>
            </w:tcMar>
          </w:tcPr>
          <w:p>
            <w:r>
              <w:rPr>
                <w:rFonts w:ascii="Georgia" w:cs="Georgia" w:eastAsia="Georgia" w:hAnsi="Georgia"/>
                <w:sz w:val="22"/>
                <w:szCs w:val="22"/>
              </w:rPr>
              <w:t xml:space="preserve">Procter &amp; Gamble (Tide, Pampers, Gillette), original Random House imprints</w:t>
            </w:r>
          </w:p>
        </w:tc>
      </w:tr>
      <w:tr>
        <w:tc>
          <w:tcPr>
            <w:tcW w:type="dxa" w:w="2340"/>
            <w:tcBorders>
              <w:top w:val="single" w:color="718096" w:sz="1"/>
              <w:left w:val="single" w:color="718096" w:sz="1"/>
              <w:bottom w:val="single" w:color="718096" w:sz="1"/>
              <w:right w:val="single" w:color="718096" w:sz="1"/>
            </w:tcBorders>
            <w:shd w:fill="D5E8F0" w:val="clear"/>
            <w:tcMar>
              <w:top w:type="dxa" w:w="80"/>
              <w:left w:type="dxa" w:w="120"/>
              <w:bottom w:type="dxa" w:w="80"/>
              <w:right w:type="dxa" w:w="120"/>
            </w:tcMar>
          </w:tcPr>
          <w:p>
            <w:r>
              <w:rPr>
                <w:rFonts w:ascii="Arial" w:cs="Arial" w:eastAsia="Arial" w:hAnsi="Arial"/>
                <w:b/>
                <w:bCs/>
                <w:color w:val="1A365D"/>
                <w:sz w:val="22"/>
                <w:szCs w:val="22"/>
              </w:rPr>
              <w:t xml:space="preserve">Hybrid / Endorsed</w:t>
            </w:r>
          </w:p>
        </w:tc>
        <w:tc>
          <w:tcPr>
            <w:tcW w:type="dxa" w:w="3510"/>
            <w:tcBorders>
              <w:top w:val="single" w:color="718096" w:sz="1"/>
              <w:left w:val="single" w:color="718096" w:sz="1"/>
              <w:bottom w:val="single" w:color="718096" w:sz="1"/>
              <w:right w:val="single" w:color="718096" w:sz="1"/>
            </w:tcBorders>
            <w:shd w:fill="D5E8F0" w:val="clear"/>
            <w:tcMar>
              <w:top w:type="dxa" w:w="80"/>
              <w:left w:type="dxa" w:w="120"/>
              <w:bottom w:type="dxa" w:w="80"/>
              <w:right w:type="dxa" w:w="120"/>
            </w:tcMar>
          </w:tcPr>
          <w:p>
            <w:r>
              <w:rPr>
                <w:rFonts w:ascii="Georgia" w:cs="Georgia" w:eastAsia="Georgia" w:hAnsi="Georgia"/>
                <w:sz w:val="22"/>
                <w:szCs w:val="22"/>
              </w:rPr>
              <w:t xml:space="preserve">Sub-brands have distinct identities but are endorsed by parent brand. Balance of flexibility and unified equity. RECOMMENDED FOR ONDE.</w:t>
            </w:r>
          </w:p>
        </w:tc>
        <w:tc>
          <w:tcPr>
            <w:tcW w:type="dxa" w:w="3510"/>
            <w:tcBorders>
              <w:top w:val="single" w:color="718096" w:sz="1"/>
              <w:left w:val="single" w:color="718096" w:sz="1"/>
              <w:bottom w:val="single" w:color="718096" w:sz="1"/>
              <w:right w:val="single" w:color="718096" w:sz="1"/>
            </w:tcBorders>
            <w:shd w:fill="D5E8F0" w:val="clear"/>
            <w:tcMar>
              <w:top w:type="dxa" w:w="80"/>
              <w:left w:type="dxa" w:w="120"/>
              <w:bottom w:type="dxa" w:w="80"/>
              <w:right w:type="dxa" w:w="120"/>
            </w:tcMar>
          </w:tcPr>
          <w:p>
            <w:r>
              <w:rPr>
                <w:rFonts w:ascii="Georgia" w:cs="Georgia" w:eastAsia="Georgia" w:hAnsi="Georgia"/>
                <w:sz w:val="22"/>
                <w:szCs w:val="22"/>
              </w:rPr>
              <w:t xml:space="preserve">Penguin Random House, Marriott International (Courtyard by Marriott), Kellogg's</w:t>
            </w:r>
          </w:p>
        </w:tc>
      </w:tr>
    </w:tbl>
    <w:p>
      <w:pPr>
        <w:spacing w:before="300" w:after="200"/>
      </w:pPr>
      <w:r>
        <w:rPr>
          <w:b/>
          <w:bCs/>
          <w:sz w:val="24"/>
          <w:szCs w:val="24"/>
        </w:rPr>
        <w:t xml:space="preserve">The hybrid/endorsed model is optimal for Onde because:</w:t>
      </w:r>
    </w:p>
    <w:p>
      <w:pPr>
        <w:spacing w:after="120"/>
      </w:pPr>
      <w:r>
        <w:rPr>
          <w:sz w:val="24"/>
          <w:szCs w:val="24"/>
        </w:rPr>
        <w:t xml:space="preserve">1. Your verticals serve vastly different audiences (children vs. tech professionals vs. literary readers)</w:t>
      </w:r>
    </w:p>
    <w:p>
      <w:pPr>
        <w:spacing w:after="120"/>
      </w:pPr>
      <w:r>
        <w:rPr>
          <w:sz w:val="24"/>
          <w:szCs w:val="24"/>
        </w:rPr>
        <w:t xml:space="preserve">2. AI-generated content may benefit from its own distinct brand positioning that doesn't "contaminate" the classics line</w:t>
      </w:r>
    </w:p>
    <w:p>
      <w:pPr>
        <w:spacing w:after="120"/>
      </w:pPr>
      <w:r>
        <w:rPr>
          <w:sz w:val="24"/>
          <w:szCs w:val="24"/>
        </w:rPr>
        <w:t xml:space="preserve">3. Educational apps require a modern, tech-forward visual language different from print books</w:t>
      </w:r>
    </w:p>
    <w:p>
      <w:pPr>
        <w:spacing w:after="200"/>
      </w:pPr>
      <w:r>
        <w:rPr>
          <w:sz w:val="24"/>
          <w:szCs w:val="24"/>
        </w:rPr>
        <w:t xml:space="preserve">4. A shared parent endorsement ("from Onde") builds cumulative brand equity across all lines</w:t>
      </w:r>
    </w:p>
    <w:p>
      <w:r>
        <w:br w:type="page"/>
      </w:r>
    </w:p>
    <w:p>
      <w:pPr>
        <w:pStyle w:val="Heading1"/>
      </w:pPr>
      <w:r>
        <w:t xml:space="preserve">Part 2: Recommended Brand Structure for Onde</w:t>
      </w:r>
    </w:p>
    <w:p>
      <w:pPr>
        <w:pStyle w:val="Heading2"/>
      </w:pPr>
      <w:r>
        <w:t xml:space="preserve">Proposed Three-Chain Architecture</w:t>
      </w:r>
    </w:p>
    <w:p>
      <w:pPr>
        <w:spacing w:after="200"/>
      </w:pPr>
      <w:r>
        <w:rPr>
          <w:sz w:val="24"/>
          <w:szCs w:val="24"/>
        </w:rPr>
        <w:t xml:space="preserve">Based on your verticals, I recommend organizing Onde into three distinct visual chains, each with its own personality but connected through shared DNA elements:</w:t>
      </w:r>
    </w:p>
    <w:p>
      <w:pPr>
        <w:pStyle w:val="Heading3"/>
      </w:pPr>
      <w:r>
        <w:t xml:space="preserve">Chain 1: ONDE CLASSICS</w:t>
      </w:r>
    </w:p>
    <w:p>
      <w:pPr>
        <w:spacing w:after="120"/>
      </w:pPr>
      <w:r>
        <w:rPr>
          <w:b/>
          <w:bCs/>
          <w:sz w:val="24"/>
          <w:szCs w:val="24"/>
        </w:rPr>
        <w:t xml:space="preserve">Scope: </w:t>
      </w:r>
      <w:r>
        <w:rPr>
          <w:sz w:val="24"/>
          <w:szCs w:val="24"/>
        </w:rPr>
        <w:t xml:space="preserve">Poetry, spirituality, art books, significant literary works</w:t>
      </w:r>
    </w:p>
    <w:p>
      <w:pPr>
        <w:spacing w:after="120"/>
      </w:pPr>
      <w:r>
        <w:rPr>
          <w:b/>
          <w:bCs/>
          <w:sz w:val="24"/>
          <w:szCs w:val="24"/>
        </w:rPr>
        <w:t xml:space="preserve">Audience: </w:t>
      </w:r>
      <w:r>
        <w:rPr>
          <w:sz w:val="24"/>
          <w:szCs w:val="24"/>
        </w:rPr>
        <w:t xml:space="preserve">Adult readers seeking timeless, curated content; collectors; intellectuals</w:t>
      </w:r>
    </w:p>
    <w:p>
      <w:pPr>
        <w:spacing w:after="120"/>
      </w:pPr>
      <w:r>
        <w:rPr>
          <w:b/>
          <w:bCs/>
          <w:sz w:val="24"/>
          <w:szCs w:val="24"/>
        </w:rPr>
        <w:t xml:space="preserve">Visual Identity:</w:t>
      </w:r>
    </w:p>
    <w:p>
      <w:pPr>
        <w:spacing w:after="80"/>
        <w:ind w:left="720"/>
      </w:pPr>
      <w:r>
        <w:rPr>
          <w:i/>
          <w:iCs/>
          <w:sz w:val="24"/>
          <w:szCs w:val="24"/>
        </w:rPr>
        <w:t xml:space="preserve">Typography: </w:t>
      </w:r>
      <w:r>
        <w:rPr>
          <w:sz w:val="24"/>
          <w:szCs w:val="24"/>
        </w:rPr>
        <w:t xml:space="preserve">Elegant serif fonts (Garamond, Baskerville, Didot); high-contrast traditional typefaces with refined details</w:t>
      </w:r>
    </w:p>
    <w:p>
      <w:pPr>
        <w:spacing w:after="80"/>
        <w:ind w:left="720"/>
      </w:pPr>
      <w:r>
        <w:rPr>
          <w:i/>
          <w:iCs/>
          <w:sz w:val="24"/>
          <w:szCs w:val="24"/>
        </w:rPr>
        <w:t xml:space="preserve">Color Palette: </w:t>
      </w:r>
      <w:r>
        <w:rPr>
          <w:sz w:val="24"/>
          <w:szCs w:val="24"/>
        </w:rPr>
        <w:t xml:space="preserve">Muted, sophisticated tones; deep blues, burgundy, forest green, ivory, gold accents; monochromatic or limited palettes</w:t>
      </w:r>
    </w:p>
    <w:p>
      <w:pPr>
        <w:spacing w:after="80"/>
        <w:ind w:left="720"/>
      </w:pPr>
      <w:r>
        <w:rPr>
          <w:i/>
          <w:iCs/>
          <w:sz w:val="24"/>
          <w:szCs w:val="24"/>
        </w:rPr>
        <w:t xml:space="preserve">Layout: </w:t>
      </w:r>
      <w:r>
        <w:rPr>
          <w:sz w:val="24"/>
          <w:szCs w:val="24"/>
        </w:rPr>
        <w:t xml:space="preserve">Generous white space; typography-forward covers; minimalist with single striking image or pure typography</w:t>
      </w:r>
    </w:p>
    <w:p>
      <w:pPr>
        <w:spacing w:after="80"/>
        <w:ind w:left="720"/>
      </w:pPr>
      <w:r>
        <w:rPr>
          <w:i/>
          <w:iCs/>
          <w:sz w:val="24"/>
          <w:szCs w:val="24"/>
        </w:rPr>
        <w:t xml:space="preserve">Materials: </w:t>
      </w:r>
      <w:r>
        <w:rPr>
          <w:sz w:val="24"/>
          <w:szCs w:val="24"/>
        </w:rPr>
        <w:t xml:space="preserve">Textured papers; cloth spines; embossing; foil stamping; quality that invites physical appreciation</w:t>
      </w:r>
    </w:p>
    <w:p>
      <w:pPr>
        <w:spacing w:after="200"/>
        <w:ind w:left="720"/>
      </w:pPr>
      <w:r>
        <w:rPr>
          <w:i/>
          <w:iCs/>
          <w:sz w:val="24"/>
          <w:szCs w:val="24"/>
        </w:rPr>
        <w:t xml:space="preserve">Reference Models: </w:t>
      </w:r>
      <w:r>
        <w:rPr>
          <w:sz w:val="24"/>
          <w:szCs w:val="24"/>
        </w:rPr>
        <w:t xml:space="preserve">Phaidon, NYRB Classics, Everyman's Library, Penguin Modern Classics</w:t>
      </w:r>
    </w:p>
    <w:p>
      <w:pPr>
        <w:pStyle w:val="Heading3"/>
      </w:pPr>
      <w:r>
        <w:t xml:space="preserve">Chain 2: ONDE FUTURES</w:t>
      </w:r>
    </w:p>
    <w:p>
      <w:pPr>
        <w:spacing w:after="120"/>
      </w:pPr>
      <w:r>
        <w:rPr>
          <w:b/>
          <w:bCs/>
          <w:sz w:val="24"/>
          <w:szCs w:val="24"/>
        </w:rPr>
        <w:t xml:space="preserve">Scope: </w:t>
      </w:r>
      <w:r>
        <w:rPr>
          <w:sz w:val="24"/>
          <w:szCs w:val="24"/>
        </w:rPr>
        <w:t xml:space="preserve">AI-generated children's books, tech manuals for adults, AI/tech education content</w:t>
      </w:r>
    </w:p>
    <w:p>
      <w:pPr>
        <w:spacing w:after="120"/>
      </w:pPr>
      <w:r>
        <w:rPr>
          <w:b/>
          <w:bCs/>
          <w:sz w:val="24"/>
          <w:szCs w:val="24"/>
        </w:rPr>
        <w:t xml:space="preserve">Audience: </w:t>
      </w:r>
      <w:r>
        <w:rPr>
          <w:sz w:val="24"/>
          <w:szCs w:val="24"/>
        </w:rPr>
        <w:t xml:space="preserve">Tech-curious families, early adopters, professionals learning new technologies</w:t>
      </w:r>
    </w:p>
    <w:p>
      <w:pPr>
        <w:spacing w:after="120"/>
      </w:pPr>
      <w:r>
        <w:rPr>
          <w:b/>
          <w:bCs/>
          <w:sz w:val="24"/>
          <w:szCs w:val="24"/>
        </w:rPr>
        <w:t xml:space="preserve">Visual Identity:</w:t>
      </w:r>
    </w:p>
    <w:p>
      <w:pPr>
        <w:spacing w:after="80"/>
        <w:ind w:left="720"/>
      </w:pPr>
      <w:r>
        <w:rPr>
          <w:i/>
          <w:iCs/>
          <w:sz w:val="24"/>
          <w:szCs w:val="24"/>
        </w:rPr>
        <w:t xml:space="preserve">Typography: </w:t>
      </w:r>
      <w:r>
        <w:rPr>
          <w:sz w:val="24"/>
          <w:szCs w:val="24"/>
        </w:rPr>
        <w:t xml:space="preserve">Clean sans-serif (Futura, Avenir, Montserrat); geometric typefaces; modern and readable</w:t>
      </w:r>
    </w:p>
    <w:p>
      <w:pPr>
        <w:spacing w:after="80"/>
        <w:ind w:left="720"/>
      </w:pPr>
      <w:r>
        <w:rPr>
          <w:i/>
          <w:iCs/>
          <w:sz w:val="24"/>
          <w:szCs w:val="24"/>
        </w:rPr>
        <w:t xml:space="preserve">Color Palette: </w:t>
      </w:r>
      <w:r>
        <w:rPr>
          <w:sz w:val="24"/>
          <w:szCs w:val="24"/>
        </w:rPr>
        <w:t xml:space="preserve">Vibrant and bold for children's content; electric blues, magentas, teals, bright oranges; clean whites and grays for technical manuals</w:t>
      </w:r>
    </w:p>
    <w:p>
      <w:pPr>
        <w:spacing w:after="80"/>
        <w:ind w:left="720"/>
      </w:pPr>
      <w:r>
        <w:rPr>
          <w:i/>
          <w:iCs/>
          <w:sz w:val="24"/>
          <w:szCs w:val="24"/>
        </w:rPr>
        <w:t xml:space="preserve">Illustration Style: </w:t>
      </w:r>
      <w:r>
        <w:rPr>
          <w:sz w:val="24"/>
          <w:szCs w:val="24"/>
        </w:rPr>
        <w:t xml:space="preserve">Digital-native aesthetics; smooth gradients; stylized vector illustrations; consistent character design across AI-generated imagery</w:t>
      </w:r>
    </w:p>
    <w:p>
      <w:pPr>
        <w:spacing w:after="80"/>
        <w:ind w:left="720"/>
      </w:pPr>
      <w:r>
        <w:rPr>
          <w:i/>
          <w:iCs/>
          <w:sz w:val="24"/>
          <w:szCs w:val="24"/>
        </w:rPr>
        <w:t xml:space="preserve">Layout: </w:t>
      </w:r>
      <w:r>
        <w:rPr>
          <w:sz w:val="24"/>
          <w:szCs w:val="24"/>
        </w:rPr>
        <w:t xml:space="preserve">Grid-based systems; modular design; clear visual hierarchy; accessibility-first approach</w:t>
      </w:r>
    </w:p>
    <w:p>
      <w:pPr>
        <w:spacing w:after="200"/>
        <w:ind w:left="720"/>
      </w:pPr>
      <w:r>
        <w:rPr>
          <w:i/>
          <w:iCs/>
          <w:sz w:val="24"/>
          <w:szCs w:val="24"/>
        </w:rPr>
        <w:t xml:space="preserve">Reference Models: </w:t>
      </w:r>
      <w:r>
        <w:rPr>
          <w:sz w:val="24"/>
          <w:szCs w:val="24"/>
        </w:rPr>
        <w:t xml:space="preserve">Smashing Magazine books, O'Reilly's modern series, DK Publishing</w:t>
      </w:r>
    </w:p>
    <w:p>
      <w:pPr>
        <w:pStyle w:val="Heading3"/>
      </w:pPr>
      <w:r>
        <w:t xml:space="preserve">Chain 3: ONDE LEARN</w:t>
      </w:r>
    </w:p>
    <w:p>
      <w:pPr>
        <w:spacing w:after="120"/>
      </w:pPr>
      <w:r>
        <w:rPr>
          <w:b/>
          <w:bCs/>
          <w:sz w:val="24"/>
          <w:szCs w:val="24"/>
        </w:rPr>
        <w:t xml:space="preserve">Scope: </w:t>
      </w:r>
      <w:r>
        <w:rPr>
          <w:sz w:val="24"/>
          <w:szCs w:val="24"/>
        </w:rPr>
        <w:t xml:space="preserve">Educational content for children, games, apps, interactive learning materials</w:t>
      </w:r>
    </w:p>
    <w:p>
      <w:pPr>
        <w:spacing w:after="120"/>
      </w:pPr>
      <w:r>
        <w:rPr>
          <w:b/>
          <w:bCs/>
          <w:sz w:val="24"/>
          <w:szCs w:val="24"/>
        </w:rPr>
        <w:t xml:space="preserve">Audience: </w:t>
      </w:r>
      <w:r>
        <w:rPr>
          <w:sz w:val="24"/>
          <w:szCs w:val="24"/>
        </w:rPr>
        <w:t xml:space="preserve">Children ages 4-14, parents, educators</w:t>
      </w:r>
    </w:p>
    <w:p>
      <w:pPr>
        <w:spacing w:after="120"/>
      </w:pPr>
      <w:r>
        <w:rPr>
          <w:b/>
          <w:bCs/>
          <w:sz w:val="24"/>
          <w:szCs w:val="24"/>
        </w:rPr>
        <w:t xml:space="preserve">Visual Identity:</w:t>
      </w:r>
    </w:p>
    <w:p>
      <w:pPr>
        <w:spacing w:after="80"/>
        <w:ind w:left="720"/>
      </w:pPr>
      <w:r>
        <w:rPr>
          <w:i/>
          <w:iCs/>
          <w:sz w:val="24"/>
          <w:szCs w:val="24"/>
        </w:rPr>
        <w:t xml:space="preserve">Typography: </w:t>
      </w:r>
      <w:r>
        <w:rPr>
          <w:sz w:val="24"/>
          <w:szCs w:val="24"/>
        </w:rPr>
        <w:t xml:space="preserve">Friendly, rounded sans-serifs; highly readable at all sizes; playful but professional</w:t>
      </w:r>
    </w:p>
    <w:p>
      <w:pPr>
        <w:spacing w:after="80"/>
        <w:ind w:left="720"/>
      </w:pPr>
      <w:r>
        <w:rPr>
          <w:i/>
          <w:iCs/>
          <w:sz w:val="24"/>
          <w:szCs w:val="24"/>
        </w:rPr>
        <w:t xml:space="preserve">Color Palette: </w:t>
      </w:r>
      <w:r>
        <w:rPr>
          <w:sz w:val="24"/>
          <w:szCs w:val="24"/>
        </w:rPr>
        <w:t xml:space="preserve">Bright primary colors for younger children transitioning to more sophisticated secondary palettes for older; calming but engaging</w:t>
      </w:r>
    </w:p>
    <w:p>
      <w:pPr>
        <w:spacing w:after="80"/>
        <w:ind w:left="720"/>
      </w:pPr>
      <w:r>
        <w:rPr>
          <w:i/>
          <w:iCs/>
          <w:sz w:val="24"/>
          <w:szCs w:val="24"/>
        </w:rPr>
        <w:t xml:space="preserve">Illustration Style: </w:t>
      </w:r>
      <w:r>
        <w:rPr>
          <w:sz w:val="24"/>
          <w:szCs w:val="24"/>
        </w:rPr>
        <w:t xml:space="preserve">Hand-drawn feel with digital polish; warm and organic; character-driven with consistent mascots; inclusive representation</w:t>
      </w:r>
    </w:p>
    <w:p>
      <w:pPr>
        <w:spacing w:after="80"/>
        <w:ind w:left="720"/>
      </w:pPr>
      <w:r>
        <w:rPr>
          <w:i/>
          <w:iCs/>
          <w:sz w:val="24"/>
          <w:szCs w:val="24"/>
        </w:rPr>
        <w:t xml:space="preserve">UI/UX Considerations: </w:t>
      </w:r>
      <w:r>
        <w:rPr>
          <w:sz w:val="24"/>
          <w:szCs w:val="24"/>
        </w:rPr>
        <w:t xml:space="preserve">Large touch targets; minimal cognitive load; progress indicators; reward systems; safe and age-appropriate interactions</w:t>
      </w:r>
    </w:p>
    <w:p>
      <w:pPr>
        <w:spacing w:after="200"/>
        <w:ind w:left="720"/>
      </w:pPr>
      <w:r>
        <w:rPr>
          <w:i/>
          <w:iCs/>
          <w:sz w:val="24"/>
          <w:szCs w:val="24"/>
        </w:rPr>
        <w:t xml:space="preserve">Reference Models: </w:t>
      </w:r>
      <w:r>
        <w:rPr>
          <w:sz w:val="24"/>
          <w:szCs w:val="24"/>
        </w:rPr>
        <w:t xml:space="preserve">BrainPop, Duolingo for children, Khan Academy Kids, Toca Boca</w:t>
      </w:r>
    </w:p>
    <w:p>
      <w:r>
        <w:br w:type="page"/>
      </w:r>
    </w:p>
    <w:p>
      <w:pPr>
        <w:pStyle w:val="Heading1"/>
      </w:pPr>
      <w:r>
        <w:t xml:space="preserve">Part 3: The Unified Design System</w:t>
      </w:r>
    </w:p>
    <w:p>
      <w:pPr>
        <w:pStyle w:val="Heading2"/>
      </w:pPr>
      <w:r>
        <w:t xml:space="preserve">Shared DNA Elements</w:t>
      </w:r>
    </w:p>
    <w:p>
      <w:pPr>
        <w:spacing w:after="200"/>
      </w:pPr>
      <w:r>
        <w:rPr>
          <w:sz w:val="24"/>
          <w:szCs w:val="24"/>
        </w:rPr>
        <w:t xml:space="preserve">While each chain has distinct personality, the following elements should remain consistent across all Onde properties to build unified brand equity:</w:t>
      </w:r>
    </w:p>
    <w:p>
      <w:pPr>
        <w:pStyle w:val="Heading3"/>
      </w:pPr>
      <w:r>
        <w:t xml:space="preserve">1. The Onde Wordmark</w:t>
      </w:r>
    </w:p>
    <w:p>
      <w:pPr>
        <w:spacing w:after="200"/>
      </w:pPr>
      <w:r>
        <w:rPr>
          <w:sz w:val="24"/>
          <w:szCs w:val="24"/>
        </w:rPr>
        <w:t xml:space="preserve">A single, elegant wordmark that appears on all products. This functions as the "endorsement" element. Consider a custom-drawn logotype that works at small sizes (book spines) and large (app splash screens). The wordmark should feel timeless rather than trendy, working equally well on a leather-bound poetry collection and a children's iPad app.</w:t>
      </w:r>
    </w:p>
    <w:p>
      <w:pPr>
        <w:pStyle w:val="Heading3"/>
      </w:pPr>
      <w:r>
        <w:t xml:space="preserve">2. Consistent Placement Convention</w:t>
      </w:r>
    </w:p>
    <w:p>
      <w:pPr>
        <w:spacing w:after="200"/>
      </w:pPr>
      <w:r>
        <w:rPr>
          <w:sz w:val="24"/>
          <w:szCs w:val="24"/>
        </w:rPr>
        <w:t xml:space="preserve">The Onde mark should appear in a consistent position across all products: bottom of book spines, consistent corner of app icons, footer of all digital materials. This trains customer recognition regardless of which chain they encounter.</w:t>
      </w:r>
    </w:p>
    <w:p>
      <w:pPr>
        <w:pStyle w:val="Heading3"/>
      </w:pPr>
      <w:r>
        <w:t xml:space="preserve">3. Quality Standards</w:t>
      </w:r>
    </w:p>
    <w:p>
      <w:pPr>
        <w:spacing w:after="200"/>
      </w:pPr>
      <w:r>
        <w:rPr>
          <w:sz w:val="24"/>
          <w:szCs w:val="24"/>
        </w:rPr>
        <w:t xml:space="preserve">All chains should share a commitment to exceptional production quality, thoughtful typography, and attention to detail. This becomes Onde's implicit promise: whatever the format or audience, the execution will be excellent.</w:t>
      </w:r>
    </w:p>
    <w:p>
      <w:pPr>
        <w:pStyle w:val="Heading3"/>
      </w:pPr>
      <w:r>
        <w:t xml:space="preserve">4. Wave Motif (Optional Visual Thread)</w:t>
      </w:r>
    </w:p>
    <w:p>
      <w:pPr>
        <w:spacing w:after="200"/>
      </w:pPr>
      <w:r>
        <w:rPr>
          <w:sz w:val="24"/>
          <w:szCs w:val="24"/>
        </w:rPr>
        <w:t xml:space="preserve">"Onde" means "wave" in several languages. Consider developing a subtle wave graphic element that appears differently in each chain: elegant flowing lines for Classics, geometric wave patterns for Futures, playful wave shapes for Learn. This creates visual cohesion while allowing distinct interpretations.</w:t>
      </w:r>
    </w:p>
    <w:p>
      <w:r>
        <w:br w:type="page"/>
      </w:r>
    </w:p>
    <w:p>
      <w:pPr>
        <w:pStyle w:val="Heading1"/>
      </w:pPr>
      <w:r>
        <w:t xml:space="preserve">Part 4: Detailed Visual Recommendations by Vertical</w:t>
      </w:r>
    </w:p>
    <w:p>
      <w:pPr>
        <w:pStyle w:val="Heading2"/>
      </w:pPr>
      <w:r>
        <w:t xml:space="preserve">Poetry &amp; Spirituality Books</w:t>
      </w:r>
    </w:p>
    <w:p>
      <w:pPr>
        <w:spacing w:after="200"/>
      </w:pPr>
      <w:r>
        <w:rPr>
          <w:sz w:val="24"/>
          <w:szCs w:val="24"/>
        </w:rPr>
        <w:t xml:space="preserve">Poetry books demand restraint and sophistication. The design should serve the text, not compete with it.</w:t>
      </w:r>
    </w:p>
    <w:p>
      <w:pPr>
        <w:spacing w:after="120"/>
      </w:pPr>
      <w:r>
        <w:rPr>
          <w:b/>
          <w:bCs/>
          <w:sz w:val="24"/>
          <w:szCs w:val="24"/>
        </w:rPr>
        <w:t xml:space="preserve">Cover Design Approach:</w:t>
      </w:r>
    </w:p>
    <w:p>
      <w:pPr>
        <w:spacing w:after="80"/>
        <w:ind w:left="720"/>
      </w:pPr>
      <w:r>
        <w:rPr>
          <w:sz w:val="24"/>
          <w:szCs w:val="24"/>
        </w:rPr>
        <w:t xml:space="preserve">Prioritize typography-led designs; let the title and author name carry the visual weight</w:t>
      </w:r>
    </w:p>
    <w:p>
      <w:pPr>
        <w:spacing w:after="80"/>
        <w:ind w:left="720"/>
      </w:pPr>
      <w:r>
        <w:rPr>
          <w:sz w:val="24"/>
          <w:szCs w:val="24"/>
        </w:rPr>
        <w:t xml:space="preserve">If using imagery, choose single powerful visuals with abstract or symbolic quality</w:t>
      </w:r>
    </w:p>
    <w:p>
      <w:pPr>
        <w:spacing w:after="80"/>
        <w:ind w:left="720"/>
      </w:pPr>
      <w:r>
        <w:rPr>
          <w:sz w:val="24"/>
          <w:szCs w:val="24"/>
        </w:rPr>
        <w:t xml:space="preserve">Generous margins and white space throughout interior layouts</w:t>
      </w:r>
    </w:p>
    <w:p>
      <w:pPr>
        <w:spacing w:after="200"/>
        <w:ind w:left="720"/>
      </w:pPr>
      <w:r>
        <w:rPr>
          <w:sz w:val="24"/>
          <w:szCs w:val="24"/>
        </w:rPr>
        <w:t xml:space="preserve">Reference contemporary poetry design leaders: Rupi Kaur's minimalist approach, or the elegant simplicity of FSG Poetry</w:t>
      </w:r>
    </w:p>
    <w:p>
      <w:pPr>
        <w:spacing w:after="120"/>
      </w:pPr>
      <w:r>
        <w:rPr>
          <w:b/>
          <w:bCs/>
          <w:sz w:val="24"/>
          <w:szCs w:val="24"/>
        </w:rPr>
        <w:t xml:space="preserve">Typography Recommendations:</w:t>
      </w:r>
    </w:p>
    <w:p>
      <w:pPr>
        <w:spacing w:after="80"/>
        <w:ind w:left="720"/>
      </w:pPr>
      <w:r>
        <w:rPr>
          <w:sz w:val="24"/>
          <w:szCs w:val="24"/>
        </w:rPr>
        <w:t xml:space="preserve">Body text: Garamond, Minion, Bembo (12-14pt for comfortable reading)</w:t>
      </w:r>
    </w:p>
    <w:p>
      <w:pPr>
        <w:spacing w:after="80"/>
        <w:ind w:left="720"/>
      </w:pPr>
      <w:r>
        <w:rPr>
          <w:sz w:val="24"/>
          <w:szCs w:val="24"/>
        </w:rPr>
        <w:t xml:space="preserve">Display/Titles: Didot, Bodoni, or custom lettering for signature editions</w:t>
      </w:r>
    </w:p>
    <w:p>
      <w:pPr>
        <w:spacing w:after="200"/>
        <w:ind w:left="720"/>
      </w:pPr>
      <w:r>
        <w:rPr>
          <w:sz w:val="24"/>
          <w:szCs w:val="24"/>
        </w:rPr>
        <w:t xml:space="preserve">Spirituality may call for slightly warmer, more organic typefaces: consider Freight Text or Adobe Caslon</w:t>
      </w:r>
    </w:p>
    <w:p>
      <w:pPr>
        <w:spacing w:after="120"/>
      </w:pPr>
      <w:r>
        <w:rPr>
          <w:b/>
          <w:bCs/>
          <w:sz w:val="24"/>
          <w:szCs w:val="24"/>
        </w:rPr>
        <w:t xml:space="preserve">Color Psychology for Spirituality:</w:t>
      </w:r>
    </w:p>
    <w:p>
      <w:pPr>
        <w:spacing w:after="80"/>
        <w:ind w:left="720"/>
      </w:pPr>
      <w:r>
        <w:rPr>
          <w:sz w:val="24"/>
          <w:szCs w:val="24"/>
        </w:rPr>
        <w:t xml:space="preserve">Deep purple: mysticism, spirituality, introspection</w:t>
      </w:r>
    </w:p>
    <w:p>
      <w:pPr>
        <w:spacing w:after="80"/>
        <w:ind w:left="720"/>
      </w:pPr>
      <w:r>
        <w:rPr>
          <w:sz w:val="24"/>
          <w:szCs w:val="24"/>
        </w:rPr>
        <w:t xml:space="preserve">Blue: peace, trust, clarity</w:t>
      </w:r>
    </w:p>
    <w:p>
      <w:pPr>
        <w:spacing w:after="80"/>
        <w:ind w:left="720"/>
      </w:pPr>
      <w:r>
        <w:rPr>
          <w:sz w:val="24"/>
          <w:szCs w:val="24"/>
        </w:rPr>
        <w:t xml:space="preserve">Green: growth, nature, harmony</w:t>
      </w:r>
    </w:p>
    <w:p>
      <w:pPr>
        <w:spacing w:after="200"/>
        <w:ind w:left="720"/>
      </w:pPr>
      <w:r>
        <w:rPr>
          <w:sz w:val="24"/>
          <w:szCs w:val="24"/>
        </w:rPr>
        <w:t xml:space="preserve">Gold accents: divinity, wisdom, importance</w:t>
      </w:r>
    </w:p>
    <w:p>
      <w:pPr>
        <w:pStyle w:val="Heading2"/>
      </w:pPr>
      <w:r>
        <w:t xml:space="preserve">Art Books &amp; Visual Classics</w:t>
      </w:r>
    </w:p>
    <w:p>
      <w:pPr>
        <w:spacing w:after="200"/>
      </w:pPr>
      <w:r>
        <w:rPr>
          <w:sz w:val="24"/>
          <w:szCs w:val="24"/>
        </w:rPr>
        <w:t xml:space="preserve">Art books should themselves be art objects. The design vocabulary here emphasizes materiality, scale, and museum-quality presentation.</w:t>
      </w:r>
    </w:p>
    <w:p>
      <w:pPr>
        <w:spacing w:after="120"/>
      </w:pPr>
      <w:r>
        <w:rPr>
          <w:b/>
          <w:bCs/>
          <w:sz w:val="24"/>
          <w:szCs w:val="24"/>
        </w:rPr>
        <w:t xml:space="preserve">Design Principles:</w:t>
      </w:r>
    </w:p>
    <w:p>
      <w:pPr>
        <w:spacing w:after="80"/>
        <w:ind w:left="720"/>
      </w:pPr>
      <w:r>
        <w:rPr>
          <w:sz w:val="24"/>
          <w:szCs w:val="24"/>
        </w:rPr>
        <w:t xml:space="preserve">Large format when possible; generous bleeds for full-spread imagery</w:t>
      </w:r>
    </w:p>
    <w:p>
      <w:pPr>
        <w:spacing w:after="80"/>
        <w:ind w:left="720"/>
      </w:pPr>
      <w:r>
        <w:rPr>
          <w:sz w:val="24"/>
          <w:szCs w:val="24"/>
        </w:rPr>
        <w:t xml:space="preserve">Typography that doesn't compete with artwork: clean Swiss-style sans-serifs (Neue Haas Grotesk, Akzidenz Grotesk)</w:t>
      </w:r>
    </w:p>
    <w:p>
      <w:pPr>
        <w:spacing w:after="80"/>
        <w:ind w:left="720"/>
      </w:pPr>
      <w:r>
        <w:rPr>
          <w:sz w:val="24"/>
          <w:szCs w:val="24"/>
        </w:rPr>
        <w:t xml:space="preserve">Consider grid systems inspired by Josef Müller-Brockmann for consistency</w:t>
      </w:r>
    </w:p>
    <w:p>
      <w:pPr>
        <w:spacing w:after="200"/>
        <w:ind w:left="720"/>
      </w:pPr>
      <w:r>
        <w:rPr>
          <w:sz w:val="24"/>
          <w:szCs w:val="24"/>
        </w:rPr>
        <w:t xml:space="preserve">Reference: Phaidon, Taschen's collector editions, Thames &amp; Hudson</w:t>
      </w:r>
    </w:p>
    <w:p>
      <w:pPr>
        <w:pStyle w:val="Heading2"/>
      </w:pPr>
      <w:r>
        <w:t xml:space="preserve">Tech Books &amp; Manuals</w:t>
      </w:r>
    </w:p>
    <w:p>
      <w:pPr>
        <w:spacing w:after="200"/>
      </w:pPr>
      <w:r>
        <w:rPr>
          <w:sz w:val="24"/>
          <w:szCs w:val="24"/>
        </w:rPr>
        <w:t xml:space="preserve">Technical content requires clarity above all. Users need to find information quickly and understand it immediately.</w:t>
      </w:r>
    </w:p>
    <w:p>
      <w:pPr>
        <w:spacing w:after="120"/>
      </w:pPr>
      <w:r>
        <w:rPr>
          <w:b/>
          <w:bCs/>
          <w:sz w:val="24"/>
          <w:szCs w:val="24"/>
        </w:rPr>
        <w:t xml:space="preserve">Design Principles:</w:t>
      </w:r>
    </w:p>
    <w:p>
      <w:pPr>
        <w:spacing w:after="80"/>
        <w:ind w:left="720"/>
      </w:pPr>
      <w:r>
        <w:rPr>
          <w:sz w:val="24"/>
          <w:szCs w:val="24"/>
        </w:rPr>
        <w:t xml:space="preserve">Strong visual hierarchy: clear headings, subheadings, and callouts</w:t>
      </w:r>
    </w:p>
    <w:p>
      <w:pPr>
        <w:spacing w:after="80"/>
        <w:ind w:left="720"/>
      </w:pPr>
      <w:r>
        <w:rPr>
          <w:sz w:val="24"/>
          <w:szCs w:val="24"/>
        </w:rPr>
        <w:t xml:space="preserve">Code blocks with monospace fonts (Fira Code, JetBrains Mono) with syntax highlighting</w:t>
      </w:r>
    </w:p>
    <w:p>
      <w:pPr>
        <w:spacing w:after="80"/>
        <w:ind w:left="720"/>
      </w:pPr>
      <w:r>
        <w:rPr>
          <w:sz w:val="24"/>
          <w:szCs w:val="24"/>
        </w:rPr>
        <w:t xml:space="preserve">Diagrams and flowcharts as primary visual elements rather than decorative imagery</w:t>
      </w:r>
    </w:p>
    <w:p>
      <w:pPr>
        <w:spacing w:after="80"/>
        <w:ind w:left="720"/>
      </w:pPr>
      <w:r>
        <w:rPr>
          <w:sz w:val="24"/>
          <w:szCs w:val="24"/>
        </w:rPr>
        <w:t xml:space="preserve">Consistent iconography for tips, warnings, notes</w:t>
      </w:r>
    </w:p>
    <w:p>
      <w:pPr>
        <w:spacing w:after="200"/>
        <w:ind w:left="720"/>
      </w:pPr>
      <w:r>
        <w:rPr>
          <w:sz w:val="24"/>
          <w:szCs w:val="24"/>
        </w:rPr>
        <w:t xml:space="preserve">Reference: O'Reilly's modern design system, Pragmatic Bookshelf, A Book Apart</w:t>
      </w:r>
    </w:p>
    <w:p>
      <w:pPr>
        <w:pStyle w:val="Heading2"/>
      </w:pPr>
      <w:r>
        <w:t xml:space="preserve">AI-Generated Children's Books</w:t>
      </w:r>
    </w:p>
    <w:p>
      <w:pPr>
        <w:spacing w:after="200"/>
      </w:pPr>
      <w:r>
        <w:rPr>
          <w:sz w:val="24"/>
          <w:szCs w:val="24"/>
        </w:rPr>
        <w:t xml:space="preserve">This is your most innovative vertical. The visual approach should feel contemporary, tech-positive, but warm and child-friendly.</w:t>
      </w:r>
    </w:p>
    <w:p>
      <w:pPr>
        <w:spacing w:after="120"/>
      </w:pPr>
      <w:r>
        <w:rPr>
          <w:b/>
          <w:bCs/>
          <w:sz w:val="24"/>
          <w:szCs w:val="24"/>
        </w:rPr>
        <w:t xml:space="preserve">Strategic Considerations:</w:t>
      </w:r>
    </w:p>
    <w:p>
      <w:pPr>
        <w:spacing w:after="80"/>
        <w:ind w:left="720"/>
      </w:pPr>
      <w:r>
        <w:rPr>
          <w:sz w:val="24"/>
          <w:szCs w:val="24"/>
        </w:rPr>
        <w:t xml:space="preserve">Embrace rather than hide the AI origin; position as "magical" or "created just for you"</w:t>
      </w:r>
    </w:p>
    <w:p>
      <w:pPr>
        <w:spacing w:after="80"/>
        <w:ind w:left="720"/>
      </w:pPr>
      <w:r>
        <w:rPr>
          <w:sz w:val="24"/>
          <w:szCs w:val="24"/>
        </w:rPr>
        <w:t xml:space="preserve">Develop consistent character design guidelines so AI-generated characters feel cohesive across titles</w:t>
      </w:r>
    </w:p>
    <w:p>
      <w:pPr>
        <w:spacing w:after="80"/>
        <w:ind w:left="720"/>
      </w:pPr>
      <w:r>
        <w:rPr>
          <w:sz w:val="24"/>
          <w:szCs w:val="24"/>
        </w:rPr>
        <w:t xml:space="preserve">Use consistent prompt engineering or style references to maintain visual language</w:t>
      </w:r>
    </w:p>
    <w:p>
      <w:pPr>
        <w:spacing w:after="200"/>
        <w:ind w:left="720"/>
      </w:pPr>
      <w:r>
        <w:rPr>
          <w:sz w:val="24"/>
          <w:szCs w:val="24"/>
        </w:rPr>
        <w:t xml:space="preserve">Consider offering personalized versions where children's names or appearances are incorporated</w:t>
      </w:r>
    </w:p>
    <w:p>
      <w:pPr>
        <w:spacing w:after="120"/>
      </w:pPr>
      <w:r>
        <w:rPr>
          <w:b/>
          <w:bCs/>
          <w:sz w:val="24"/>
          <w:szCs w:val="24"/>
        </w:rPr>
        <w:t xml:space="preserve">Illustration Style Options:</w:t>
      </w:r>
    </w:p>
    <w:p>
      <w:pPr>
        <w:spacing w:after="80"/>
        <w:ind w:left="720"/>
      </w:pPr>
      <w:r>
        <w:rPr>
          <w:sz w:val="24"/>
          <w:szCs w:val="24"/>
        </w:rPr>
        <w:t xml:space="preserve">Digital watercolor: warm, approachable, slightly organic despite digital creation</w:t>
      </w:r>
    </w:p>
    <w:p>
      <w:pPr>
        <w:spacing w:after="80"/>
        <w:ind w:left="720"/>
      </w:pPr>
      <w:r>
        <w:rPr>
          <w:sz w:val="24"/>
          <w:szCs w:val="24"/>
        </w:rPr>
        <w:t xml:space="preserve">Soft 3D rendering: modern Pixar-adjacent aesthetic that reads as contemporary</w:t>
      </w:r>
    </w:p>
    <w:p>
      <w:pPr>
        <w:spacing w:after="200"/>
        <w:ind w:left="720"/>
      </w:pPr>
      <w:r>
        <w:rPr>
          <w:sz w:val="24"/>
          <w:szCs w:val="24"/>
        </w:rPr>
        <w:t xml:space="preserve">Minimalist flat illustration: clean vectors that scale well and print beautifully</w:t>
      </w:r>
    </w:p>
    <w:p>
      <w:pPr>
        <w:pStyle w:val="Heading2"/>
      </w:pPr>
      <w:r>
        <w:t xml:space="preserve">Educational Apps &amp; Games</w:t>
      </w:r>
    </w:p>
    <w:p>
      <w:pPr>
        <w:spacing w:after="200"/>
      </w:pPr>
      <w:r>
        <w:rPr>
          <w:sz w:val="24"/>
          <w:szCs w:val="24"/>
        </w:rPr>
        <w:t xml:space="preserve">Digital products require a complete UI/UX design system that goes beyond book design into interaction design.</w:t>
      </w:r>
    </w:p>
    <w:p>
      <w:pPr>
        <w:spacing w:after="120"/>
      </w:pPr>
      <w:r>
        <w:rPr>
          <w:b/>
          <w:bCs/>
          <w:sz w:val="24"/>
          <w:szCs w:val="24"/>
        </w:rPr>
        <w:t xml:space="preserve">Core UI Principles:</w:t>
      </w:r>
    </w:p>
    <w:p>
      <w:pPr>
        <w:spacing w:after="80"/>
        <w:ind w:left="720"/>
      </w:pPr>
      <w:r>
        <w:rPr>
          <w:sz w:val="24"/>
          <w:szCs w:val="24"/>
        </w:rPr>
        <w:t xml:space="preserve">Child-safe design: large touch targets (minimum 44x44pt), clear navigation, no accidental external links</w:t>
      </w:r>
    </w:p>
    <w:p>
      <w:pPr>
        <w:spacing w:after="80"/>
        <w:ind w:left="720"/>
      </w:pPr>
      <w:r>
        <w:rPr>
          <w:sz w:val="24"/>
          <w:szCs w:val="24"/>
        </w:rPr>
        <w:t xml:space="preserve">Progress systems: visual feedback, achievement badges, gentle gamification</w:t>
      </w:r>
    </w:p>
    <w:p>
      <w:pPr>
        <w:spacing w:after="80"/>
        <w:ind w:left="720"/>
      </w:pPr>
      <w:r>
        <w:rPr>
          <w:sz w:val="24"/>
          <w:szCs w:val="24"/>
        </w:rPr>
        <w:t xml:space="preserve">Consistent mascot or guide character that appears across all Onde Learn products</w:t>
      </w:r>
    </w:p>
    <w:p>
      <w:pPr>
        <w:spacing w:after="200"/>
        <w:ind w:left="720"/>
      </w:pPr>
      <w:r>
        <w:rPr>
          <w:sz w:val="24"/>
          <w:szCs w:val="24"/>
        </w:rPr>
        <w:t xml:space="preserve">Dark mode options for longer learning sessions; accessibility features including text-to-speech</w:t>
      </w:r>
    </w:p>
    <w:p>
      <w:r>
        <w:br w:type="page"/>
      </w:r>
    </w:p>
    <w:p>
      <w:pPr>
        <w:pStyle w:val="Heading1"/>
      </w:pPr>
      <w:r>
        <w:t xml:space="preserve">Part 5: Implementation Roadmap</w:t>
      </w:r>
    </w:p>
    <w:p>
      <w:pPr>
        <w:pStyle w:val="Heading2"/>
      </w:pPr>
      <w:r>
        <w:t xml:space="preserve">Phase 1: Foundation (Months 1-3)</w:t>
      </w:r>
    </w:p>
    <w:p>
      <w:pPr>
        <w:spacing w:after="80"/>
        <w:ind w:left="360"/>
      </w:pPr>
      <w:r>
        <w:rPr>
          <w:sz w:val="24"/>
          <w:szCs w:val="24"/>
        </w:rPr>
        <w:t xml:space="preserve">1. Finalize Onde master wordmark and define usage rules</w:t>
      </w:r>
    </w:p>
    <w:p>
      <w:pPr>
        <w:spacing w:after="80"/>
        <w:ind w:left="360"/>
      </w:pPr>
      <w:r>
        <w:rPr>
          <w:sz w:val="24"/>
          <w:szCs w:val="24"/>
        </w:rPr>
        <w:t xml:space="preserve">2. Establish primary color palette that works across all chains</w:t>
      </w:r>
    </w:p>
    <w:p>
      <w:pPr>
        <w:spacing w:after="80"/>
        <w:ind w:left="360"/>
      </w:pPr>
      <w:r>
        <w:rPr>
          <w:sz w:val="24"/>
          <w:szCs w:val="24"/>
        </w:rPr>
        <w:t xml:space="preserve">3. License or commission core typeface families for each chain</w:t>
      </w:r>
    </w:p>
    <w:p>
      <w:pPr>
        <w:spacing w:after="200"/>
        <w:ind w:left="360"/>
      </w:pPr>
      <w:r>
        <w:rPr>
          <w:sz w:val="24"/>
          <w:szCs w:val="24"/>
        </w:rPr>
        <w:t xml:space="preserve">4. Create brand guidelines document defining DNA elements</w:t>
      </w:r>
    </w:p>
    <w:p>
      <w:pPr>
        <w:pStyle w:val="Heading2"/>
      </w:pPr>
      <w:r>
        <w:t xml:space="preserve">Phase 2: Chain Development (Months 3-6)</w:t>
      </w:r>
    </w:p>
    <w:p>
      <w:pPr>
        <w:spacing w:after="80"/>
        <w:ind w:left="360"/>
      </w:pPr>
      <w:r>
        <w:rPr>
          <w:sz w:val="24"/>
          <w:szCs w:val="24"/>
        </w:rPr>
        <w:t xml:space="preserve">1. Develop complete visual identity for Onde Classics including book templates</w:t>
      </w:r>
    </w:p>
    <w:p>
      <w:pPr>
        <w:spacing w:after="80"/>
        <w:ind w:left="360"/>
      </w:pPr>
      <w:r>
        <w:rPr>
          <w:sz w:val="24"/>
          <w:szCs w:val="24"/>
        </w:rPr>
        <w:t xml:space="preserve">2. Create Onde Futures identity with AI illustration style guide</w:t>
      </w:r>
    </w:p>
    <w:p>
      <w:pPr>
        <w:spacing w:after="200"/>
        <w:ind w:left="360"/>
      </w:pPr>
      <w:r>
        <w:rPr>
          <w:sz w:val="24"/>
          <w:szCs w:val="24"/>
        </w:rPr>
        <w:t xml:space="preserve">3. Build Onde Learn UI kit for digital products</w:t>
      </w:r>
    </w:p>
    <w:p>
      <w:pPr>
        <w:pStyle w:val="Heading2"/>
      </w:pPr>
      <w:r>
        <w:t xml:space="preserve">Phase 3: Launch &amp; Refinement (Months 6-12)</w:t>
      </w:r>
    </w:p>
    <w:p>
      <w:pPr>
        <w:spacing w:after="80"/>
        <w:ind w:left="360"/>
      </w:pPr>
      <w:r>
        <w:rPr>
          <w:sz w:val="24"/>
          <w:szCs w:val="24"/>
        </w:rPr>
        <w:t xml:space="preserve">1. Pilot products in each chain to test visual systems</w:t>
      </w:r>
    </w:p>
    <w:p>
      <w:pPr>
        <w:spacing w:after="80"/>
        <w:ind w:left="360"/>
      </w:pPr>
      <w:r>
        <w:rPr>
          <w:sz w:val="24"/>
          <w:szCs w:val="24"/>
        </w:rPr>
        <w:t xml:space="preserve">2. Gather feedback from target audiences</w:t>
      </w:r>
    </w:p>
    <w:p>
      <w:pPr>
        <w:spacing w:after="80"/>
        <w:ind w:left="360"/>
      </w:pPr>
      <w:r>
        <w:rPr>
          <w:sz w:val="24"/>
          <w:szCs w:val="24"/>
        </w:rPr>
        <w:t xml:space="preserve">3. Refine and document learnings</w:t>
      </w:r>
    </w:p>
    <w:p>
      <w:pPr>
        <w:spacing w:after="200"/>
        <w:ind w:left="360"/>
      </w:pPr>
      <w:r>
        <w:rPr>
          <w:sz w:val="24"/>
          <w:szCs w:val="24"/>
        </w:rPr>
        <w:t xml:space="preserve">4. Develop template libraries for efficient production</w:t>
      </w:r>
    </w:p>
    <w:p>
      <w:r>
        <w:br w:type="page"/>
      </w:r>
    </w:p>
    <w:p>
      <w:pPr>
        <w:pStyle w:val="Heading1"/>
      </w:pPr>
      <w:r>
        <w:t xml:space="preserve">Conclusion: Strategic Summary</w:t>
      </w:r>
    </w:p>
    <w:p>
      <w:pPr>
        <w:spacing w:after="200"/>
      </w:pPr>
      <w:r>
        <w:rPr>
          <w:sz w:val="24"/>
          <w:szCs w:val="24"/>
        </w:rPr>
        <w:t xml:space="preserve">Onde has an ambitious and exciting vision. The key to visual success is recognizing that your diverse verticals serve different audiences who have different expectations, while still building cumulative brand equity under the Onde 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718096" w:sz="1"/>
              <w:left w:val="single" w:color="718096" w:sz="1"/>
              <w:bottom w:val="single" w:color="718096" w:sz="1"/>
              <w:right w:val="single" w:color="718096" w:sz="1"/>
            </w:tcBorders>
            <w:shd w:fill="1A365D" w:val="clear"/>
            <w:tcMar>
              <w:top w:type="dxa" w:w="120"/>
              <w:left w:type="dxa" w:w="120"/>
              <w:bottom w:type="dxa" w:w="120"/>
              <w:right w:type="dxa" w:w="120"/>
            </w:tcMar>
          </w:tcPr>
          <w:p>
            <w:r>
              <w:rPr>
                <w:rFonts w:ascii="Arial" w:cs="Arial" w:eastAsia="Arial" w:hAnsi="Arial"/>
                <w:b/>
                <w:bCs/>
                <w:color w:val="FFFFFF"/>
                <w:sz w:val="24"/>
                <w:szCs w:val="24"/>
              </w:rPr>
              <w:t xml:space="preserve">Key Decision</w:t>
            </w:r>
          </w:p>
        </w:tc>
        <w:tc>
          <w:tcPr>
            <w:tcW w:type="dxa" w:w="6240"/>
            <w:tcBorders>
              <w:top w:val="single" w:color="718096" w:sz="1"/>
              <w:left w:val="single" w:color="718096" w:sz="1"/>
              <w:bottom w:val="single" w:color="718096" w:sz="1"/>
              <w:right w:val="single" w:color="718096" w:sz="1"/>
            </w:tcBorders>
            <w:shd w:fill="1A365D" w:val="clear"/>
            <w:tcMar>
              <w:top w:type="dxa" w:w="120"/>
              <w:left w:type="dxa" w:w="120"/>
              <w:bottom w:type="dxa" w:w="120"/>
              <w:right w:type="dxa" w:w="120"/>
            </w:tcMar>
          </w:tcPr>
          <w:p>
            <w:r>
              <w:rPr>
                <w:rFonts w:ascii="Arial" w:cs="Arial" w:eastAsia="Arial" w:hAnsi="Arial"/>
                <w:b/>
                <w:bCs/>
                <w:color w:val="FFFFFF"/>
                <w:sz w:val="24"/>
                <w:szCs w:val="24"/>
              </w:rPr>
              <w:t xml:space="preserve">Recommendation</w:t>
            </w:r>
          </w:p>
        </w:tc>
      </w:tr>
      <w:tr>
        <w:tc>
          <w:tcPr>
            <w:tcW w:type="dxa" w:w="3120"/>
            <w:tcBorders>
              <w:top w:val="single" w:color="718096" w:sz="1"/>
              <w:left w:val="single" w:color="718096" w:sz="1"/>
              <w:bottom w:val="single" w:color="718096" w:sz="1"/>
              <w:right w:val="single" w:color="718096" w:sz="1"/>
            </w:tcBorders>
            <w:tcMar>
              <w:top w:type="dxa" w:w="120"/>
              <w:left w:type="dxa" w:w="120"/>
              <w:bottom w:type="dxa" w:w="120"/>
              <w:right w:type="dxa" w:w="120"/>
            </w:tcMar>
          </w:tcPr>
          <w:p>
            <w:r>
              <w:rPr>
                <w:b/>
                <w:bCs/>
                <w:sz w:val="22"/>
                <w:szCs w:val="22"/>
              </w:rPr>
              <w:t xml:space="preserve">Brand Architecture</w:t>
            </w:r>
          </w:p>
        </w:tc>
        <w:tc>
          <w:tcPr>
            <w:tcW w:type="dxa" w:w="6240"/>
            <w:tcBorders>
              <w:top w:val="single" w:color="718096" w:sz="1"/>
              <w:left w:val="single" w:color="718096" w:sz="1"/>
              <w:bottom w:val="single" w:color="718096" w:sz="1"/>
              <w:right w:val="single" w:color="718096" w:sz="1"/>
            </w:tcBorders>
            <w:tcMar>
              <w:top w:type="dxa" w:w="120"/>
              <w:left w:type="dxa" w:w="120"/>
              <w:bottom w:type="dxa" w:w="120"/>
              <w:right w:type="dxa" w:w="120"/>
            </w:tcMar>
          </w:tcPr>
          <w:p>
            <w:r>
              <w:rPr>
                <w:sz w:val="22"/>
                <w:szCs w:val="22"/>
              </w:rPr>
              <w:t xml:space="preserve">Hybrid/Endorsed Model: Strong parent brand with distinct sub-identities</w:t>
            </w:r>
          </w:p>
        </w:tc>
      </w:tr>
      <w:tr>
        <w:tc>
          <w:tcPr>
            <w:tcW w:type="dxa" w:w="3120"/>
            <w:tcBorders>
              <w:top w:val="single" w:color="718096" w:sz="1"/>
              <w:left w:val="single" w:color="718096" w:sz="1"/>
              <w:bottom w:val="single" w:color="718096" w:sz="1"/>
              <w:right w:val="single" w:color="718096" w:sz="1"/>
            </w:tcBorders>
            <w:tcMar>
              <w:top w:type="dxa" w:w="120"/>
              <w:left w:type="dxa" w:w="120"/>
              <w:bottom w:type="dxa" w:w="120"/>
              <w:right w:type="dxa" w:w="120"/>
            </w:tcMar>
          </w:tcPr>
          <w:p>
            <w:r>
              <w:rPr>
                <w:b/>
                <w:bCs/>
                <w:sz w:val="22"/>
                <w:szCs w:val="22"/>
              </w:rPr>
              <w:t xml:space="preserve">Number of Chains</w:t>
            </w:r>
          </w:p>
        </w:tc>
        <w:tc>
          <w:tcPr>
            <w:tcW w:type="dxa" w:w="6240"/>
            <w:tcBorders>
              <w:top w:val="single" w:color="718096" w:sz="1"/>
              <w:left w:val="single" w:color="718096" w:sz="1"/>
              <w:bottom w:val="single" w:color="718096" w:sz="1"/>
              <w:right w:val="single" w:color="718096" w:sz="1"/>
            </w:tcBorders>
            <w:tcMar>
              <w:top w:type="dxa" w:w="120"/>
              <w:left w:type="dxa" w:w="120"/>
              <w:bottom w:type="dxa" w:w="120"/>
              <w:right w:type="dxa" w:w="120"/>
            </w:tcMar>
          </w:tcPr>
          <w:p>
            <w:r>
              <w:rPr>
                <w:sz w:val="22"/>
                <w:szCs w:val="22"/>
              </w:rPr>
              <w:t xml:space="preserve">Three: Classics (literary), Futures (tech/AI), Learn (educational)</w:t>
            </w:r>
          </w:p>
        </w:tc>
      </w:tr>
      <w:tr>
        <w:tc>
          <w:tcPr>
            <w:tcW w:type="dxa" w:w="3120"/>
            <w:tcBorders>
              <w:top w:val="single" w:color="718096" w:sz="1"/>
              <w:left w:val="single" w:color="718096" w:sz="1"/>
              <w:bottom w:val="single" w:color="718096" w:sz="1"/>
              <w:right w:val="single" w:color="718096" w:sz="1"/>
            </w:tcBorders>
            <w:tcMar>
              <w:top w:type="dxa" w:w="120"/>
              <w:left w:type="dxa" w:w="120"/>
              <w:bottom w:type="dxa" w:w="120"/>
              <w:right w:type="dxa" w:w="120"/>
            </w:tcMar>
          </w:tcPr>
          <w:p>
            <w:r>
              <w:rPr>
                <w:b/>
                <w:bCs/>
                <w:sz w:val="22"/>
                <w:szCs w:val="22"/>
              </w:rPr>
              <w:t xml:space="preserve">Unifying Elements</w:t>
            </w:r>
          </w:p>
        </w:tc>
        <w:tc>
          <w:tcPr>
            <w:tcW w:type="dxa" w:w="6240"/>
            <w:tcBorders>
              <w:top w:val="single" w:color="718096" w:sz="1"/>
              <w:left w:val="single" w:color="718096" w:sz="1"/>
              <w:bottom w:val="single" w:color="718096" w:sz="1"/>
              <w:right w:val="single" w:color="718096" w:sz="1"/>
            </w:tcBorders>
            <w:tcMar>
              <w:top w:type="dxa" w:w="120"/>
              <w:left w:type="dxa" w:w="120"/>
              <w:bottom w:type="dxa" w:w="120"/>
              <w:right w:type="dxa" w:w="120"/>
            </w:tcMar>
          </w:tcPr>
          <w:p>
            <w:r>
              <w:rPr>
                <w:sz w:val="22"/>
                <w:szCs w:val="22"/>
              </w:rPr>
              <w:t xml:space="preserve">Onde wordmark, consistent placement, quality standards, wave motif</w:t>
            </w:r>
          </w:p>
        </w:tc>
      </w:tr>
      <w:tr>
        <w:tc>
          <w:tcPr>
            <w:tcW w:type="dxa" w:w="3120"/>
            <w:tcBorders>
              <w:top w:val="single" w:color="718096" w:sz="1"/>
              <w:left w:val="single" w:color="718096" w:sz="1"/>
              <w:bottom w:val="single" w:color="718096" w:sz="1"/>
              <w:right w:val="single" w:color="718096" w:sz="1"/>
            </w:tcBorders>
            <w:tcMar>
              <w:top w:type="dxa" w:w="120"/>
              <w:left w:type="dxa" w:w="120"/>
              <w:bottom w:type="dxa" w:w="120"/>
              <w:right w:type="dxa" w:w="120"/>
            </w:tcMar>
          </w:tcPr>
          <w:p>
            <w:r>
              <w:rPr>
                <w:b/>
                <w:bCs/>
                <w:sz w:val="22"/>
                <w:szCs w:val="22"/>
              </w:rPr>
              <w:t xml:space="preserve">Typography Strategy</w:t>
            </w:r>
          </w:p>
        </w:tc>
        <w:tc>
          <w:tcPr>
            <w:tcW w:type="dxa" w:w="6240"/>
            <w:tcBorders>
              <w:top w:val="single" w:color="718096" w:sz="1"/>
              <w:left w:val="single" w:color="718096" w:sz="1"/>
              <w:bottom w:val="single" w:color="718096" w:sz="1"/>
              <w:right w:val="single" w:color="718096" w:sz="1"/>
            </w:tcBorders>
            <w:tcMar>
              <w:top w:type="dxa" w:w="120"/>
              <w:left w:type="dxa" w:w="120"/>
              <w:bottom w:type="dxa" w:w="120"/>
              <w:right w:type="dxa" w:w="120"/>
            </w:tcMar>
          </w:tcPr>
          <w:p>
            <w:r>
              <w:rPr>
                <w:sz w:val="22"/>
                <w:szCs w:val="22"/>
              </w:rPr>
              <w:t xml:space="preserve">Serif for Classics, Sans-serif for Futures, Rounded sans for Learn</w:t>
            </w:r>
          </w:p>
        </w:tc>
      </w:tr>
      <w:tr>
        <w:tc>
          <w:tcPr>
            <w:tcW w:type="dxa" w:w="3120"/>
            <w:tcBorders>
              <w:top w:val="single" w:color="718096" w:sz="1"/>
              <w:left w:val="single" w:color="718096" w:sz="1"/>
              <w:bottom w:val="single" w:color="718096" w:sz="1"/>
              <w:right w:val="single" w:color="718096" w:sz="1"/>
            </w:tcBorders>
            <w:tcMar>
              <w:top w:type="dxa" w:w="120"/>
              <w:left w:type="dxa" w:w="120"/>
              <w:bottom w:type="dxa" w:w="120"/>
              <w:right w:type="dxa" w:w="120"/>
            </w:tcMar>
          </w:tcPr>
          <w:p>
            <w:r>
              <w:rPr>
                <w:b/>
                <w:bCs/>
                <w:sz w:val="22"/>
                <w:szCs w:val="22"/>
              </w:rPr>
              <w:t xml:space="preserve">Template Approach</w:t>
            </w:r>
          </w:p>
        </w:tc>
        <w:tc>
          <w:tcPr>
            <w:tcW w:type="dxa" w:w="6240"/>
            <w:tcBorders>
              <w:top w:val="single" w:color="718096" w:sz="1"/>
              <w:left w:val="single" w:color="718096" w:sz="1"/>
              <w:bottom w:val="single" w:color="718096" w:sz="1"/>
              <w:right w:val="single" w:color="718096" w:sz="1"/>
            </w:tcBorders>
            <w:tcMar>
              <w:top w:type="dxa" w:w="120"/>
              <w:left w:type="dxa" w:w="120"/>
              <w:bottom w:type="dxa" w:w="120"/>
              <w:right w:type="dxa" w:w="120"/>
            </w:tcMar>
          </w:tcPr>
          <w:p>
            <w:r>
              <w:rPr>
                <w:sz w:val="22"/>
                <w:szCs w:val="22"/>
              </w:rPr>
              <w:t xml:space="preserve">Develop 3-5 templates per chain for consistent, efficient production</w:t>
            </w:r>
          </w:p>
        </w:tc>
      </w:tr>
    </w:tbl>
    <w:p>
      <w:pPr>
        <w:spacing w:before="400" w:after="200"/>
      </w:pPr>
      <w:r>
        <w:rPr>
          <w:sz w:val="24"/>
          <w:szCs w:val="24"/>
        </w:rPr>
        <w:t xml:space="preserve">This approach gives Onde the flexibility to serve diverse audiences while building a cohesive brand story. Each chain can evolve independently while contributing to Onde's overall reputation as a publisher of quality, thoughtful content across formats and audiences.</w:t>
      </w:r>
    </w:p>
    <w:p>
      <w:pPr>
        <w:spacing w:before="300"/>
        <w:jc w:val="center"/>
      </w:pPr>
      <w:r>
        <w:rPr>
          <w:i/>
          <w:iCs/>
          <w:color w:val="718096"/>
          <w:sz w:val="24"/>
          <w:szCs w:val="24"/>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ONDE Publishing | Brand Identity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365D"/>
      <w:sz w:val="48"/>
      <w:szCs w:val="48"/>
    </w:rPr>
  </w:style>
  <w:style w:type="paragraph" w:styleId="Heading2">
    <w:name w:val="Heading 2"/>
    <w:basedOn w:val="Normal"/>
    <w:next w:val="Normal"/>
    <w:qFormat/>
    <w:pPr>
      <w:spacing w:before="300" w:after="180"/>
      <w:outlineLvl w:val="1"/>
    </w:pPr>
    <w:rPr>
      <w:rFonts w:ascii="Arial" w:cs="Arial" w:eastAsia="Arial" w:hAnsi="Arial"/>
      <w:b/>
      <w:bCs/>
      <w:color w:val="2B6CB0"/>
      <w:sz w:val="36"/>
      <w:szCs w:val="36"/>
    </w:rPr>
  </w:style>
  <w:style w:type="paragraph" w:styleId="Heading3">
    <w:name w:val="Heading 3"/>
    <w:basedOn w:val="Normal"/>
    <w:next w:val="Normal"/>
    <w:qFormat/>
    <w:pPr>
      <w:spacing w:before="240" w:after="120"/>
      <w:outlineLvl w:val="2"/>
    </w:pPr>
    <w:rPr>
      <w:rFonts w:ascii="Arial" w:cs="Arial" w:eastAsia="Arial" w:hAnsi="Arial"/>
      <w:b/>
      <w:bCs/>
      <w:color w:val="2D374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2026-01-11T01:54:46.120Z</dcterms:created>
  <dcterms:modified xsi:type="dcterms:W3CDTF">2026-01-11T01:54:46.121Z</dcterms:modified>
</cp:coreProperties>
</file>

<file path=docProps/custom.xml><?xml version="1.0" encoding="utf-8"?>
<Properties xmlns="http://schemas.openxmlformats.org/officeDocument/2006/custom-properties" xmlns:vt="http://schemas.openxmlformats.org/officeDocument/2006/docPropsVTypes"/>
</file>