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A0D" w:rsidRPr="00257F37" w:rsidRDefault="00437A0D" w:rsidP="00E723FD">
      <w:pPr>
        <w:rPr>
          <w:caps/>
        </w:rPr>
      </w:pPr>
      <w:r w:rsidRPr="00257F37">
        <w:rPr>
          <w:caps/>
        </w:rPr>
        <w:t>Цель и задачи проектирования</w:t>
      </w:r>
    </w:p>
    <w:p w:rsidR="00437A0D" w:rsidRDefault="00437A0D" w:rsidP="00E723FD">
      <w:r>
        <w:t xml:space="preserve">Целью курсового проектирования является освоение методики проектирования и разработки </w:t>
      </w:r>
      <w:proofErr w:type="gramStart"/>
      <w:r>
        <w:t>операционных</w:t>
      </w:r>
      <w:r w:rsidR="00E723FD">
        <w:t xml:space="preserve"> </w:t>
      </w:r>
      <w:r>
        <w:t xml:space="preserve"> и</w:t>
      </w:r>
      <w:proofErr w:type="gramEnd"/>
      <w:r>
        <w:t xml:space="preserve"> управляющих устройств ЭВМ, а также подготовки технической документации на эти устройства. Курсовой </w:t>
      </w:r>
    </w:p>
    <w:p w:rsidR="00437A0D" w:rsidRDefault="00437A0D" w:rsidP="00E723FD">
      <w:proofErr w:type="gramStart"/>
      <w:r>
        <w:t>проект</w:t>
      </w:r>
      <w:proofErr w:type="gramEnd"/>
      <w:r>
        <w:t xml:space="preserve"> является формой самостоятельной работы студентов. В период курсового проектирования студент должен закреплять, углублять, и применять теоретические знания для решения </w:t>
      </w:r>
      <w:proofErr w:type="gramStart"/>
      <w:r>
        <w:t xml:space="preserve">поставленных </w:t>
      </w:r>
      <w:r w:rsidR="00E723FD">
        <w:t xml:space="preserve"> </w:t>
      </w:r>
      <w:r>
        <w:t>практических</w:t>
      </w:r>
      <w:proofErr w:type="gramEnd"/>
      <w:r>
        <w:t xml:space="preserve"> задач, работать с научно–технической литературой. Основное внимание при выполнении курсового проекта обращается на умение принимать технические решения и обосновывать </w:t>
      </w:r>
    </w:p>
    <w:p w:rsidR="00437A0D" w:rsidRDefault="00257F37" w:rsidP="00437A0D">
      <w:r>
        <w:t>Н</w:t>
      </w:r>
      <w:r w:rsidR="00437A0D">
        <w:t>еобходимо сформулировать назначение и условия эксплуатации изделия.</w:t>
      </w:r>
    </w:p>
    <w:p w:rsidR="00437A0D" w:rsidRDefault="00437A0D" w:rsidP="00437A0D">
      <w:r>
        <w:t>Проектируемое устройство (система) может использоваться в различных областях науки и техники, производства и быта, образования и управления. Поэтому, необходимо по возможности рассмотреть и осветить направления, где возможно применение разрабатываемого изделия, и соответственно особенности его применения или эксплуатации в каждом направлении.</w:t>
      </w:r>
    </w:p>
    <w:p w:rsidR="00437A0D" w:rsidRDefault="00437A0D" w:rsidP="00437A0D">
      <w:r w:rsidRPr="00257F37">
        <w:rPr>
          <w:b/>
        </w:rPr>
        <w:t>Задания на курсовую работу включают в себя некоторый набор исходных данных и ограничений для проектирования АЛУ. Все варианты задания сведены в табл. 10.1. Строка таблицы представляет один вариант задания</w:t>
      </w:r>
      <w:r w:rsidR="00B924D7" w:rsidRPr="00257F37">
        <w:rPr>
          <w:b/>
        </w:rPr>
        <w:t xml:space="preserve">. </w:t>
      </w:r>
      <w:r w:rsidRPr="00257F37">
        <w:rPr>
          <w:b/>
        </w:rPr>
        <w:t xml:space="preserve">Разрабатываемое АЛУ должно выполнять одну арифметическую и одну поразрядную бинарную логическую </w:t>
      </w:r>
      <w:proofErr w:type="gramStart"/>
      <w:r w:rsidRPr="00257F37">
        <w:rPr>
          <w:b/>
        </w:rPr>
        <w:t>операцию,</w:t>
      </w:r>
      <w:r>
        <w:t xml:space="preserve"> </w:t>
      </w:r>
      <w:r w:rsidR="00B924D7">
        <w:t xml:space="preserve"> </w:t>
      </w:r>
      <w:r>
        <w:t>причем</w:t>
      </w:r>
      <w:proofErr w:type="gramEnd"/>
      <w:r>
        <w:t xml:space="preserve"> на способ выполнения арифметической операции заданием накладываются некоторые ограничения. Варианты операций обозначаются в табл. следующим образом:</w:t>
      </w:r>
    </w:p>
    <w:p w:rsidR="00437A0D" w:rsidRPr="00257F37" w:rsidRDefault="00437A0D" w:rsidP="00257F37">
      <w:pPr>
        <w:spacing w:after="0"/>
        <w:rPr>
          <w:sz w:val="24"/>
        </w:rPr>
      </w:pPr>
      <w:r w:rsidRPr="00257F37">
        <w:rPr>
          <w:sz w:val="24"/>
        </w:rPr>
        <w:t>± — алгебраическое сложение/вычитание;</w:t>
      </w:r>
    </w:p>
    <w:p w:rsidR="00437A0D" w:rsidRPr="00257F37" w:rsidRDefault="00437A0D" w:rsidP="00257F37">
      <w:pPr>
        <w:spacing w:after="0"/>
        <w:rPr>
          <w:sz w:val="24"/>
        </w:rPr>
      </w:pPr>
      <w:proofErr w:type="gramStart"/>
      <w:r w:rsidRPr="00257F37">
        <w:rPr>
          <w:sz w:val="24"/>
        </w:rPr>
        <w:t>х</w:t>
      </w:r>
      <w:proofErr w:type="gramEnd"/>
      <w:r w:rsidRPr="00257F37">
        <w:rPr>
          <w:sz w:val="24"/>
        </w:rPr>
        <w:t xml:space="preserve"> — умножение обыкновенное;</w:t>
      </w:r>
    </w:p>
    <w:p w:rsidR="00437A0D" w:rsidRPr="00257F37" w:rsidRDefault="00437A0D" w:rsidP="00257F37">
      <w:pPr>
        <w:spacing w:after="0"/>
        <w:rPr>
          <w:sz w:val="24"/>
        </w:rPr>
      </w:pPr>
      <w:proofErr w:type="gramStart"/>
      <w:r w:rsidRPr="00257F37">
        <w:rPr>
          <w:sz w:val="24"/>
        </w:rPr>
        <w:t>х</w:t>
      </w:r>
      <w:proofErr w:type="gramEnd"/>
      <w:r w:rsidRPr="00257F37">
        <w:rPr>
          <w:sz w:val="24"/>
        </w:rPr>
        <w:t>2 - умножение ускоренное (с анализом двух разрядов множителя);</w:t>
      </w:r>
    </w:p>
    <w:p w:rsidR="00437A0D" w:rsidRPr="00257F37" w:rsidRDefault="00437A0D" w:rsidP="00257F37">
      <w:pPr>
        <w:spacing w:after="0"/>
        <w:rPr>
          <w:sz w:val="24"/>
        </w:rPr>
      </w:pPr>
      <w:r w:rsidRPr="00257F37">
        <w:rPr>
          <w:sz w:val="24"/>
        </w:rPr>
        <w:t>¸1 - деление с восстановлением остатка;</w:t>
      </w:r>
    </w:p>
    <w:p w:rsidR="00437A0D" w:rsidRPr="00257F37" w:rsidRDefault="00437A0D" w:rsidP="00257F37">
      <w:pPr>
        <w:spacing w:after="0"/>
        <w:rPr>
          <w:sz w:val="24"/>
        </w:rPr>
      </w:pPr>
      <w:r w:rsidRPr="00257F37">
        <w:rPr>
          <w:sz w:val="24"/>
        </w:rPr>
        <w:t>¸2 - деление без восстановления остатка;</w:t>
      </w:r>
    </w:p>
    <w:p w:rsidR="00437A0D" w:rsidRPr="00257F37" w:rsidRDefault="00437A0D" w:rsidP="00257F37">
      <w:pPr>
        <w:spacing w:after="0"/>
        <w:rPr>
          <w:sz w:val="24"/>
        </w:rPr>
      </w:pPr>
      <w:proofErr w:type="gramStart"/>
      <w:r w:rsidRPr="00257F37">
        <w:rPr>
          <w:sz w:val="24"/>
        </w:rPr>
        <w:t>v</w:t>
      </w:r>
      <w:proofErr w:type="gramEnd"/>
      <w:r w:rsidRPr="00257F37">
        <w:rPr>
          <w:sz w:val="24"/>
        </w:rPr>
        <w:t xml:space="preserve"> - дизъюнкция;</w:t>
      </w:r>
    </w:p>
    <w:p w:rsidR="00437A0D" w:rsidRPr="00257F37" w:rsidRDefault="00437A0D" w:rsidP="00257F37">
      <w:pPr>
        <w:spacing w:after="0"/>
        <w:rPr>
          <w:sz w:val="24"/>
        </w:rPr>
      </w:pPr>
      <w:r w:rsidRPr="00257F37">
        <w:rPr>
          <w:sz w:val="24"/>
        </w:rPr>
        <w:t>&amp; - конъюнкция;</w:t>
      </w:r>
    </w:p>
    <w:p w:rsidR="00437A0D" w:rsidRPr="00257F37" w:rsidRDefault="00437A0D" w:rsidP="00257F37">
      <w:pPr>
        <w:spacing w:after="0"/>
        <w:rPr>
          <w:sz w:val="24"/>
        </w:rPr>
      </w:pPr>
      <w:r w:rsidRPr="00257F37">
        <w:rPr>
          <w:sz w:val="24"/>
        </w:rPr>
        <w:t>Å - неравнозначность;</w:t>
      </w:r>
    </w:p>
    <w:p w:rsidR="00437A0D" w:rsidRPr="00257F37" w:rsidRDefault="00437A0D" w:rsidP="00257F37">
      <w:pPr>
        <w:spacing w:after="0"/>
        <w:rPr>
          <w:sz w:val="24"/>
        </w:rPr>
      </w:pPr>
      <w:r w:rsidRPr="00257F37">
        <w:rPr>
          <w:sz w:val="24"/>
        </w:rPr>
        <w:t>º - эквивалентность.</w:t>
      </w:r>
    </w:p>
    <w:p w:rsidR="00257F37" w:rsidRDefault="00257F37" w:rsidP="00437A0D"/>
    <w:p w:rsidR="00437A0D" w:rsidRDefault="00437A0D" w:rsidP="00437A0D">
      <w:r>
        <w:t xml:space="preserve">Для всех вариантов заданий исходные данные (операнды) поступают в формате 16-разрядных двоичных </w:t>
      </w:r>
      <w:proofErr w:type="gramStart"/>
      <w:r>
        <w:t xml:space="preserve">чисел </w:t>
      </w:r>
      <w:r w:rsidR="00257F37">
        <w:t xml:space="preserve"> </w:t>
      </w:r>
      <w:r>
        <w:t>с</w:t>
      </w:r>
      <w:proofErr w:type="gramEnd"/>
      <w:r>
        <w:t xml:space="preserve"> фиксированной запятой, представленных в прямом коде [a0a1,...a15]d, [b0b1,...b15]d причем нулевой разряд является знаковым и запятая фиксирована после знакового разряда. Таким образом, в арифметических операциях участвуют правильные дроби со своими знаками (в логических операциях, естественно, положение запятой и знак игнорируются, операции выполняются над 16-разрядными двоичными векторами). Соответственно, результат операции должен быть представлен в той же форме: [c0c</w:t>
      </w:r>
      <w:proofErr w:type="gramStart"/>
      <w:r>
        <w:t>1,...</w:t>
      </w:r>
      <w:proofErr w:type="gramEnd"/>
      <w:r>
        <w:t>c15]d. В задании вводится ограничение на код выполнения операции (столбец КодВ0 в табл. 10.1). Если код В0 отличается от прямого — обратный (ОК) или дополнительный (ДК), то при выполнении арифметической операции следует перевести операнды в заданный код, выполнить в нем операцию, а результат вновь перевести в прямой код. Логические операции, естественно, выполняются без всякого преобразования.</w:t>
      </w:r>
    </w:p>
    <w:p w:rsidR="00437A0D" w:rsidRDefault="00437A0D" w:rsidP="00437A0D">
      <w:r>
        <w:t>Результатом выполнения операции в АЛУ должно быть не только значение суммы (произведения, конъюнкции и др.) но и признаки результата (флаги). Каждый вариант задания предполагает формирования двух различных флагов (заданных в столбце Флаги</w:t>
      </w:r>
      <w:r w:rsidR="00257F37">
        <w:t xml:space="preserve"> </w:t>
      </w:r>
      <w:r>
        <w:t>табл. 10.1) из приведенного ниже множества.</w:t>
      </w:r>
    </w:p>
    <w:p w:rsidR="00437A0D" w:rsidRDefault="00437A0D" w:rsidP="00257F37">
      <w:pPr>
        <w:spacing w:after="0"/>
      </w:pPr>
      <w:r>
        <w:t>· Z — признак нулевого результата;</w:t>
      </w:r>
    </w:p>
    <w:p w:rsidR="00437A0D" w:rsidRDefault="00437A0D" w:rsidP="00257F37">
      <w:pPr>
        <w:spacing w:after="0"/>
      </w:pPr>
      <w:r>
        <w:t>· Р — признак четности числа единиц в результате;</w:t>
      </w:r>
    </w:p>
    <w:p w:rsidR="00437A0D" w:rsidRDefault="00437A0D" w:rsidP="00257F37">
      <w:pPr>
        <w:spacing w:after="0"/>
      </w:pPr>
      <w:r>
        <w:t>· С — признак переноса из старшего разряда;</w:t>
      </w:r>
    </w:p>
    <w:p w:rsidR="00437A0D" w:rsidRDefault="00437A0D" w:rsidP="00257F37">
      <w:pPr>
        <w:spacing w:after="0"/>
      </w:pPr>
      <w:r>
        <w:lastRenderedPageBreak/>
        <w:t>· OV — признак арифметического переполнения.</w:t>
      </w:r>
    </w:p>
    <w:p w:rsidR="00437A0D" w:rsidRDefault="00437A0D" w:rsidP="00257F37">
      <w:pPr>
        <w:spacing w:after="0"/>
      </w:pPr>
    </w:p>
    <w:p w:rsidR="00437A0D" w:rsidRDefault="00437A0D" w:rsidP="00437A0D">
      <w:r>
        <w:t xml:space="preserve">В столбце Тип УА задан номер типа управляющего автомата, который необходимо использовать при проектировании заданного АЛУ. </w:t>
      </w:r>
    </w:p>
    <w:p w:rsidR="00437A0D" w:rsidRDefault="00437A0D" w:rsidP="00437A0D">
      <w:r>
        <w:t>Таблица 10.1.Варианты курсовых заданий</w:t>
      </w:r>
    </w:p>
    <w:p w:rsidR="00B924D7" w:rsidRPr="00B924D7" w:rsidRDefault="00B924D7" w:rsidP="00B924D7">
      <w:pPr>
        <w:spacing w:before="150" w:after="150"/>
        <w:ind w:left="150" w:right="150"/>
        <w:jc w:val="left"/>
        <w:rPr>
          <w:rFonts w:ascii="Verdana" w:eastAsia="Times New Roman" w:hAnsi="Verdana" w:cs="Times New Roman"/>
          <w:color w:val="424242"/>
          <w:sz w:val="21"/>
          <w:szCs w:val="21"/>
          <w:lang w:eastAsia="ru-RU"/>
        </w:rPr>
      </w:pPr>
      <w:r w:rsidRPr="00B924D7">
        <w:rPr>
          <w:rFonts w:ascii="Verdana" w:eastAsia="Times New Roman" w:hAnsi="Verdana" w:cs="Times New Roman"/>
          <w:b/>
          <w:bCs/>
          <w:color w:val="424242"/>
          <w:sz w:val="21"/>
          <w:szCs w:val="21"/>
          <w:lang w:eastAsia="ru-RU"/>
        </w:rPr>
        <w:t>Таблица 10.1.</w:t>
      </w:r>
      <w:r w:rsidRPr="00B924D7">
        <w:rPr>
          <w:rFonts w:ascii="Verdana" w:eastAsia="Times New Roman" w:hAnsi="Verdana" w:cs="Times New Roman"/>
          <w:color w:val="424242"/>
          <w:sz w:val="21"/>
          <w:szCs w:val="21"/>
          <w:lang w:eastAsia="ru-RU"/>
        </w:rPr>
        <w:t>Варианты курсовых заданий</w:t>
      </w:r>
    </w:p>
    <w:tbl>
      <w:tblPr>
        <w:tblW w:w="0" w:type="auto"/>
        <w:tblCellSpacing w:w="15" w:type="dxa"/>
        <w:tblInd w:w="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1305"/>
        <w:gridCol w:w="1053"/>
        <w:gridCol w:w="952"/>
        <w:gridCol w:w="1030"/>
        <w:gridCol w:w="619"/>
        <w:gridCol w:w="1305"/>
        <w:gridCol w:w="1053"/>
        <w:gridCol w:w="952"/>
        <w:gridCol w:w="1045"/>
      </w:tblGrid>
      <w:tr w:rsidR="00B924D7" w:rsidRPr="00B924D7" w:rsidTr="00B924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Операции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Код 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Флаги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Тип УА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Операции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Код 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Флаги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Тип УА</w:t>
            </w:r>
          </w:p>
        </w:tc>
      </w:tr>
      <w:tr w:rsidR="00B924D7" w:rsidRPr="00B924D7" w:rsidTr="00B924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±, 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proofErr w:type="gramStart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OV,Z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proofErr w:type="gramStart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x</w:t>
            </w:r>
            <w:proofErr w:type="gramEnd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2, 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</w:tr>
      <w:tr w:rsidR="00B924D7" w:rsidRPr="00B924D7" w:rsidTr="00B924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proofErr w:type="gramStart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x</w:t>
            </w:r>
            <w:proofErr w:type="gramEnd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, 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proofErr w:type="gramStart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x</w:t>
            </w:r>
            <w:proofErr w:type="gramEnd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, 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</w:tr>
      <w:tr w:rsidR="00B924D7" w:rsidRPr="00B924D7" w:rsidTr="00B924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¸1, 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proofErr w:type="gramStart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OV,Z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±, 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</w:tr>
      <w:tr w:rsidR="00B924D7" w:rsidRPr="00B924D7" w:rsidTr="00B924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proofErr w:type="gramStart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x</w:t>
            </w:r>
            <w:proofErr w:type="gramEnd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2, 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¸2, 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</w:tr>
      <w:tr w:rsidR="00B924D7" w:rsidRPr="00B924D7" w:rsidTr="00B924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¸2, 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proofErr w:type="gramStart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OV,Z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±, 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</w:tr>
      <w:tr w:rsidR="00B924D7" w:rsidRPr="00B924D7" w:rsidTr="00B924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proofErr w:type="gramStart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x</w:t>
            </w:r>
            <w:proofErr w:type="gramEnd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, 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¸</w:t>
            </w:r>
            <w:proofErr w:type="gramStart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1 ,v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</w:tr>
      <w:tr w:rsidR="00B924D7" w:rsidRPr="00B924D7" w:rsidTr="00B924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proofErr w:type="gramStart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± </w:t>
            </w: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vertAlign w:val="subscript"/>
                <w:lang w:eastAsia="ru-RU"/>
              </w:rPr>
              <w:t>;</w:t>
            </w:r>
            <w:proofErr w:type="gramEnd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 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±, 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ДК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</w:tr>
      <w:tr w:rsidR="00B924D7" w:rsidRPr="00B924D7" w:rsidTr="00B924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proofErr w:type="gramStart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x</w:t>
            </w:r>
            <w:proofErr w:type="gramEnd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2, 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proofErr w:type="gramStart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x</w:t>
            </w:r>
            <w:proofErr w:type="gramEnd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2, 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</w:tr>
      <w:tr w:rsidR="00B924D7" w:rsidRPr="00B924D7" w:rsidTr="00B924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¸1, 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proofErr w:type="gramStart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OV,Z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¸2, 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proofErr w:type="gramStart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OV,Z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</w:tr>
      <w:tr w:rsidR="00B924D7" w:rsidRPr="00B924D7" w:rsidTr="00B924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proofErr w:type="gramStart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x</w:t>
            </w:r>
            <w:proofErr w:type="gramEnd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2, 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proofErr w:type="gramStart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x</w:t>
            </w:r>
            <w:proofErr w:type="gramEnd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2, 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</w:tr>
      <w:tr w:rsidR="00B924D7" w:rsidRPr="00B924D7" w:rsidTr="00B924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±, 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ДК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±, 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</w:tr>
      <w:tr w:rsidR="00B924D7" w:rsidRPr="00B924D7" w:rsidTr="00B924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proofErr w:type="gramStart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x</w:t>
            </w:r>
            <w:proofErr w:type="gramEnd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, 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¸1, 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proofErr w:type="gramStart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OV,Z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</w:tr>
      <w:tr w:rsidR="00B924D7" w:rsidRPr="00B924D7" w:rsidTr="00B924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±, 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±, 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ДК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</w:tr>
      <w:tr w:rsidR="00B924D7" w:rsidRPr="00B924D7" w:rsidTr="00B924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¸2, 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proofErr w:type="gramStart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x</w:t>
            </w:r>
            <w:proofErr w:type="gramEnd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2, 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proofErr w:type="gramStart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OV,Z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</w:tr>
      <w:tr w:rsidR="00B924D7" w:rsidRPr="00B924D7" w:rsidTr="00B924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±, 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ДК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¸1, 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</w:tr>
      <w:tr w:rsidR="00B924D7" w:rsidRPr="00B924D7" w:rsidTr="00B924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proofErr w:type="gramStart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x</w:t>
            </w:r>
            <w:proofErr w:type="gramEnd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, 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¸2, 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</w:tr>
      <w:tr w:rsidR="00B924D7" w:rsidRPr="00B924D7" w:rsidTr="00B924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proofErr w:type="gramStart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± </w:t>
            </w: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vertAlign w:val="subscript"/>
                <w:lang w:eastAsia="ru-RU"/>
              </w:rPr>
              <w:t>;</w:t>
            </w:r>
            <w:proofErr w:type="gramEnd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 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±, 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</w:tr>
      <w:tr w:rsidR="00B924D7" w:rsidRPr="00B924D7" w:rsidTr="00B924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proofErr w:type="gramStart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x</w:t>
            </w:r>
            <w:proofErr w:type="gramEnd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2, 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proofErr w:type="gramStart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x ,</w:t>
            </w:r>
            <w:proofErr w:type="gramEnd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 xml:space="preserve"> 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proofErr w:type="gramStart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OV,Z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</w:tr>
      <w:tr w:rsidR="00B924D7" w:rsidRPr="00B924D7" w:rsidTr="00B924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±, 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¸1, 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</w:tr>
      <w:tr w:rsidR="00B924D7" w:rsidRPr="00B924D7" w:rsidTr="00B924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¸2, 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proofErr w:type="gramStart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x</w:t>
            </w:r>
            <w:proofErr w:type="gramEnd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2, 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</w:tr>
      <w:tr w:rsidR="00B924D7" w:rsidRPr="00B924D7" w:rsidTr="00B924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¸1, 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proofErr w:type="gramStart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± </w:t>
            </w: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vertAlign w:val="subscript"/>
                <w:lang w:eastAsia="ru-RU"/>
              </w:rPr>
              <w:t>;</w:t>
            </w:r>
            <w:proofErr w:type="gramEnd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 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ОK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</w:tr>
      <w:tr w:rsidR="00B924D7" w:rsidRPr="00B924D7" w:rsidTr="00B924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proofErr w:type="gramStart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х</w:t>
            </w:r>
            <w:proofErr w:type="gramEnd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, 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proofErr w:type="gramStart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x ,</w:t>
            </w:r>
            <w:proofErr w:type="gramEnd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 xml:space="preserve"> 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</w:tr>
      <w:tr w:rsidR="00B924D7" w:rsidRPr="00B924D7" w:rsidTr="00B924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±, 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ДК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±, 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ДК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</w:tr>
      <w:tr w:rsidR="00B924D7" w:rsidRPr="00B924D7" w:rsidTr="00B924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proofErr w:type="gramStart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х</w:t>
            </w:r>
            <w:proofErr w:type="gramEnd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2 , 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proofErr w:type="gramStart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x</w:t>
            </w:r>
            <w:proofErr w:type="gramEnd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2, 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</w:tr>
      <w:tr w:rsidR="00B924D7" w:rsidRPr="00B924D7" w:rsidTr="00B924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xl</w:t>
            </w:r>
            <w:proofErr w:type="spellEnd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 xml:space="preserve"> ,</w:t>
            </w:r>
            <w:proofErr w:type="gramEnd"/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 xml:space="preserve"> 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¸2, 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  <w:r w:rsidRPr="00B924D7"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  <w:t>OV, 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24D7" w:rsidRPr="00B924D7" w:rsidRDefault="00B924D7" w:rsidP="00B924D7">
            <w:pPr>
              <w:spacing w:before="150" w:after="150"/>
              <w:ind w:left="150" w:right="150"/>
              <w:jc w:val="left"/>
              <w:rPr>
                <w:rFonts w:ascii="Tahoma" w:eastAsia="Times New Roman" w:hAnsi="Tahoma" w:cs="Tahoma"/>
                <w:color w:val="424242"/>
                <w:sz w:val="20"/>
                <w:szCs w:val="20"/>
                <w:lang w:eastAsia="ru-RU"/>
              </w:rPr>
            </w:pPr>
          </w:p>
        </w:tc>
      </w:tr>
    </w:tbl>
    <w:p w:rsidR="00B924D7" w:rsidRPr="00B924D7" w:rsidRDefault="00B924D7" w:rsidP="00B924D7">
      <w:pPr>
        <w:spacing w:before="150" w:after="150"/>
        <w:ind w:left="150" w:right="150"/>
        <w:jc w:val="left"/>
        <w:rPr>
          <w:rFonts w:ascii="Verdana" w:eastAsia="Times New Roman" w:hAnsi="Verdana" w:cs="Times New Roman"/>
          <w:color w:val="424242"/>
          <w:sz w:val="21"/>
          <w:szCs w:val="21"/>
          <w:lang w:eastAsia="ru-RU"/>
        </w:rPr>
      </w:pPr>
      <w:r w:rsidRPr="00B924D7">
        <w:rPr>
          <w:rFonts w:ascii="Verdana" w:eastAsia="Times New Roman" w:hAnsi="Verdana" w:cs="Times New Roman"/>
          <w:color w:val="424242"/>
          <w:sz w:val="21"/>
          <w:szCs w:val="21"/>
          <w:lang w:eastAsia="ru-RU"/>
        </w:rPr>
        <w:t>· 1 - "жесткая логика", автомат Мура;</w:t>
      </w:r>
    </w:p>
    <w:p w:rsidR="00437A0D" w:rsidRDefault="00437A0D" w:rsidP="00437A0D"/>
    <w:p w:rsidR="00257F37" w:rsidRDefault="00257F37" w:rsidP="00437A0D"/>
    <w:p w:rsidR="00257F37" w:rsidRDefault="00257F37" w:rsidP="00437A0D"/>
    <w:p w:rsidR="00257F37" w:rsidRDefault="00257F37" w:rsidP="00437A0D">
      <w:r>
        <w:t>Задача</w:t>
      </w:r>
    </w:p>
    <w:p w:rsidR="00257F37" w:rsidRDefault="00257F37" w:rsidP="00437A0D">
      <w:r>
        <w:t>Написать формулу Ф(х), такую, что</w:t>
      </w:r>
    </w:p>
    <w:p w:rsidR="00257F37" w:rsidRDefault="00257F37" w:rsidP="00437A0D">
      <w:pPr>
        <w:rPr>
          <w:sz w:val="44"/>
        </w:rPr>
      </w:pPr>
      <w:r w:rsidRPr="00257F37">
        <w:rPr>
          <w:sz w:val="44"/>
        </w:rPr>
        <w:t>‹</w:t>
      </w:r>
      <w:r w:rsidR="00DA30BB" w:rsidRPr="00DA30BB">
        <w:rPr>
          <w:rFonts w:ascii="Arial" w:hAnsi="Arial" w:cs="Arial"/>
          <w:sz w:val="24"/>
        </w:rPr>
        <w:t>Ř</w:t>
      </w:r>
      <w:r w:rsidR="00DA30BB" w:rsidRPr="00DA30BB">
        <w:rPr>
          <w:sz w:val="28"/>
          <w:szCs w:val="24"/>
        </w:rPr>
        <w:t>(</w:t>
      </w:r>
      <w:r w:rsidR="00DA30BB" w:rsidRPr="00DA30BB">
        <w:rPr>
          <w:sz w:val="28"/>
          <w:szCs w:val="24"/>
          <w:lang w:val="en-US"/>
        </w:rPr>
        <w:t>A</w:t>
      </w:r>
      <w:proofErr w:type="gramStart"/>
      <w:r w:rsidR="00DA30BB" w:rsidRPr="00DA30BB">
        <w:rPr>
          <w:sz w:val="28"/>
          <w:szCs w:val="24"/>
        </w:rPr>
        <w:t>)</w:t>
      </w:r>
      <w:r w:rsidR="00DA30BB" w:rsidRPr="00DA30BB">
        <w:rPr>
          <w:sz w:val="28"/>
          <w:szCs w:val="24"/>
          <w:lang w:val="en-US"/>
        </w:rPr>
        <w:t>;</w:t>
      </w:r>
      <w:r w:rsidR="00DA30BB">
        <w:rPr>
          <w:sz w:val="28"/>
          <w:szCs w:val="24"/>
          <w:lang w:val="en-US"/>
        </w:rPr>
        <w:t xml:space="preserve">  </w:t>
      </w:r>
      <w:r w:rsidR="00DA30BB">
        <w:rPr>
          <w:sz w:val="44"/>
          <w:lang w:val="en-US"/>
        </w:rPr>
        <w:t xml:space="preserve"> </w:t>
      </w:r>
      <w:proofErr w:type="gramEnd"/>
      <w:r w:rsidR="00DA30BB" w:rsidRPr="00DA30BB">
        <w:rPr>
          <w:sz w:val="36"/>
          <w:lang w:val="en-US"/>
        </w:rPr>
        <w:t>U</w:t>
      </w:r>
      <w:r w:rsidRPr="00257F37">
        <w:rPr>
          <w:sz w:val="44"/>
        </w:rPr>
        <w:t>›</w:t>
      </w:r>
      <w:r w:rsidR="00DA30BB">
        <w:rPr>
          <w:sz w:val="44"/>
          <w:lang w:val="en-US"/>
        </w:rPr>
        <w:t xml:space="preserve"> </w:t>
      </w:r>
      <w:r w:rsidR="00DA30BB" w:rsidRPr="007444EA">
        <w:rPr>
          <w:sz w:val="28"/>
          <w:lang w:val="en-US"/>
        </w:rPr>
        <w:t xml:space="preserve">|=    </w:t>
      </w:r>
      <w:r w:rsidR="00DA30BB" w:rsidRPr="007444EA">
        <w:rPr>
          <w:sz w:val="28"/>
        </w:rPr>
        <w:t>Ф</w:t>
      </w:r>
      <w:r w:rsidR="007444EA" w:rsidRPr="007444EA">
        <w:rPr>
          <w:sz w:val="28"/>
        </w:rPr>
        <w:t xml:space="preserve">(а) </w:t>
      </w:r>
      <w:r w:rsidR="007444EA" w:rsidRPr="007444EA">
        <w:rPr>
          <w:sz w:val="28"/>
          <w:lang w:val="en-US"/>
        </w:rPr>
        <w:sym w:font="Wingdings" w:char="F0F3"/>
      </w:r>
      <w:r w:rsidR="007444EA" w:rsidRPr="007444EA">
        <w:rPr>
          <w:sz w:val="28"/>
          <w:lang w:val="en-US"/>
        </w:rPr>
        <w:t xml:space="preserve"> a=A</w:t>
      </w:r>
      <w:r w:rsidR="007444EA">
        <w:rPr>
          <w:sz w:val="44"/>
        </w:rPr>
        <w:t xml:space="preserve"> </w:t>
      </w:r>
    </w:p>
    <w:p w:rsidR="007444EA" w:rsidRDefault="007444EA" w:rsidP="00437A0D">
      <w:pPr>
        <w:rPr>
          <w:sz w:val="28"/>
          <w:szCs w:val="28"/>
        </w:rPr>
      </w:pPr>
      <w:r w:rsidRPr="007444EA">
        <w:rPr>
          <w:rFonts w:ascii="Arial" w:hAnsi="Arial" w:cs="Arial"/>
          <w:sz w:val="28"/>
          <w:szCs w:val="28"/>
        </w:rPr>
        <w:t>Ř</w:t>
      </w:r>
      <w:r w:rsidRPr="007444EA">
        <w:rPr>
          <w:sz w:val="28"/>
          <w:szCs w:val="28"/>
        </w:rPr>
        <w:t>(</w:t>
      </w:r>
      <w:r w:rsidRPr="007444EA">
        <w:rPr>
          <w:sz w:val="28"/>
          <w:szCs w:val="28"/>
          <w:lang w:val="en-US"/>
        </w:rPr>
        <w:t>A</w:t>
      </w:r>
      <w:r w:rsidRPr="007444EA">
        <w:rPr>
          <w:sz w:val="28"/>
          <w:szCs w:val="28"/>
        </w:rPr>
        <w:t>)</w:t>
      </w:r>
      <w:r w:rsidRPr="007444EA">
        <w:rPr>
          <w:sz w:val="28"/>
          <w:szCs w:val="28"/>
        </w:rPr>
        <w:t xml:space="preserve"> – </w:t>
      </w:r>
      <w:r>
        <w:rPr>
          <w:sz w:val="28"/>
          <w:szCs w:val="28"/>
        </w:rPr>
        <w:t>множество всех подмножеств</w:t>
      </w:r>
    </w:p>
    <w:p w:rsidR="007444EA" w:rsidRPr="007444EA" w:rsidRDefault="007444EA" w:rsidP="00437A0D">
      <w:pPr>
        <w:rPr>
          <w:sz w:val="28"/>
          <w:szCs w:val="28"/>
        </w:rPr>
      </w:pPr>
      <w:r>
        <w:rPr>
          <w:sz w:val="28"/>
          <w:szCs w:val="28"/>
        </w:rPr>
        <w:t xml:space="preserve">Объединение всех подмножеств из </w:t>
      </w:r>
      <w:r w:rsidRPr="007444EA">
        <w:rPr>
          <w:rFonts w:ascii="Arial" w:hAnsi="Arial" w:cs="Arial"/>
          <w:sz w:val="28"/>
          <w:szCs w:val="28"/>
        </w:rPr>
        <w:t>Ř</w:t>
      </w:r>
      <w:r w:rsidRPr="007444EA">
        <w:rPr>
          <w:sz w:val="28"/>
          <w:szCs w:val="28"/>
        </w:rPr>
        <w:t>(</w:t>
      </w:r>
      <w:r w:rsidRPr="007444EA">
        <w:rPr>
          <w:sz w:val="28"/>
          <w:szCs w:val="28"/>
          <w:lang w:val="en-US"/>
        </w:rPr>
        <w:t>A</w:t>
      </w:r>
      <w:r w:rsidRPr="007444EA">
        <w:rPr>
          <w:sz w:val="28"/>
          <w:szCs w:val="28"/>
        </w:rPr>
        <w:t>)</w:t>
      </w:r>
      <w:r>
        <w:rPr>
          <w:sz w:val="28"/>
          <w:szCs w:val="28"/>
        </w:rPr>
        <w:t xml:space="preserve"> есть А. О</w:t>
      </w:r>
      <w:r>
        <w:rPr>
          <w:sz w:val="28"/>
          <w:szCs w:val="28"/>
        </w:rPr>
        <w:t>бъединение</w:t>
      </w:r>
      <w:r w:rsidRPr="007444EA">
        <w:rPr>
          <w:sz w:val="28"/>
          <w:szCs w:val="28"/>
        </w:rPr>
        <w:t xml:space="preserve"> </w:t>
      </w:r>
      <w:r>
        <w:rPr>
          <w:sz w:val="28"/>
          <w:szCs w:val="28"/>
        </w:rPr>
        <w:t>всех подмножеств</w:t>
      </w:r>
      <w:r>
        <w:rPr>
          <w:sz w:val="28"/>
          <w:szCs w:val="28"/>
        </w:rPr>
        <w:t xml:space="preserve"> А совпадает с множеством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тогда и только тогда, когда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А.</w:t>
      </w:r>
      <w:bookmarkStart w:id="0" w:name="_GoBack"/>
      <w:bookmarkEnd w:id="0"/>
    </w:p>
    <w:sectPr w:rsidR="007444EA" w:rsidRPr="007444EA" w:rsidSect="00E723FD">
      <w:pgSz w:w="12240" w:h="15840" w:code="1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0D"/>
    <w:rsid w:val="00257F37"/>
    <w:rsid w:val="00437A0D"/>
    <w:rsid w:val="005E6B40"/>
    <w:rsid w:val="007444EA"/>
    <w:rsid w:val="00B924D7"/>
    <w:rsid w:val="00DA30BB"/>
    <w:rsid w:val="00E7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F6840-0F1E-415D-957E-A399D082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23FD"/>
    <w:pPr>
      <w:spacing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0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2016-04-22T01:18:00Z</dcterms:created>
  <dcterms:modified xsi:type="dcterms:W3CDTF">2016-04-27T10:17:00Z</dcterms:modified>
</cp:coreProperties>
</file>