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7365D"/>
          <w:sz w:val="40"/>
          <w:szCs w:val="40"/>
        </w:rPr>
        <w:t xml:space="preserve">Spreektekst presentatie</w:t>
      </w:r>
    </w:p>
    <w:p>
      <w:pPr>
        <w:rPr>
          <w:color w:val="595959"/>
          <w:sz w:val="20"/>
          <w:szCs w:val="20"/>
        </w:rPr>
      </w:pPr>
      <w:r>
        <w:rPr>
          <w:color w:val="595959"/>
          <w:sz w:val="20"/>
          <w:szCs w:val="20"/>
        </w:rPr>
        <w:t xml:space="preserve">Project Enexis · Sprint 1 en 2 · Groep 3 · 15 minuten</w:t>
      </w:r>
    </w:p>
    <w:p>
      <w:pPr>
        <w:rPr>
          <w:i/>
          <w:iCs/>
          <w:sz w:val="20"/>
          <w:szCs w:val="20"/>
        </w:rPr>
      </w:pPr>
      <w:r>
        <w:rPr>
          <w:i/>
          <w:iCs/>
          <w:sz w:val="20"/>
          <w:szCs w:val="20"/>
        </w:rPr>
        <w:t xml:space="preserve">Tip: lees dit niet voor, maar oefen tot je het in je eigen woorden kunt zeggen. Vul per deel in wie spreekt.</w:t>
      </w:r>
    </w:p>
    <w:p>
      <w:pPr>
        <w:keepNext/>
        <w:spacing w:after="60" w:before="240"/>
      </w:pPr>
      <w:r>
        <w:rPr>
          <w:rFonts w:ascii="Calibri Light" w:cs="Calibri Light" w:eastAsia="Calibri Light" w:hAnsi="Calibri Light"/>
          <w:b/>
          <w:bCs/>
          <w:color w:val="2F5597"/>
          <w:sz w:val="26"/>
          <w:szCs w:val="26"/>
        </w:rPr>
        <w:t xml:space="preserve">Deel 1: Introductie (3,5 min)</w:t>
      </w:r>
    </w:p>
    <w:p>
      <w:pPr>
        <w:keepNext/>
        <w:spacing w:after="100"/>
      </w:pPr>
      <w:r>
        <w:rPr>
          <w:color w:val="595959"/>
          <w:sz w:val="20"/>
          <w:szCs w:val="20"/>
        </w:rPr>
        <w:t xml:space="preserve">Spreker: ______________________</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250"/>
        <w:gridCol w:w="900"/>
        <w:gridCol w:w="6482"/>
      </w:tblGrid>
      <w:tr>
        <w:trPr>
          <w:tblHeader/>
        </w:trPr>
        <w:tc>
          <w:tcPr>
            <w:tcW w:type="dxa" w:w="2250"/>
            <w:shd w:fill="D9EAF7" w:color="auto" w:val="clear"/>
            <w:tcMar>
              <w:top w:type="dxa" w:w="70"/>
              <w:left w:type="dxa" w:w="100"/>
              <w:bottom w:type="dxa" w:w="70"/>
              <w:right w:type="dxa" w:w="100"/>
            </w:tcMar>
            <w:vAlign w:val="top"/>
          </w:tcPr>
          <w:p>
            <w:pPr>
              <w:spacing w:after="40"/>
            </w:pPr>
            <w:r>
              <w:rPr>
                <w:b/>
                <w:bCs/>
                <w:sz w:val="20"/>
                <w:szCs w:val="20"/>
              </w:rPr>
              <w:t xml:space="preserve">Slide</w:t>
            </w:r>
          </w:p>
        </w:tc>
        <w:tc>
          <w:tcPr>
            <w:tcW w:type="dxa" w:w="900"/>
            <w:shd w:fill="D9EAF7" w:color="auto" w:val="clear"/>
            <w:tcMar>
              <w:top w:type="dxa" w:w="70"/>
              <w:left w:type="dxa" w:w="100"/>
              <w:bottom w:type="dxa" w:w="70"/>
              <w:right w:type="dxa" w:w="100"/>
            </w:tcMar>
            <w:vAlign w:val="top"/>
          </w:tcPr>
          <w:p>
            <w:pPr>
              <w:spacing w:after="40"/>
            </w:pPr>
            <w:r>
              <w:rPr>
                <w:b/>
                <w:bCs/>
                <w:sz w:val="20"/>
                <w:szCs w:val="20"/>
              </w:rPr>
              <w:t xml:space="preserve">Tijd</w:t>
            </w:r>
          </w:p>
        </w:tc>
        <w:tc>
          <w:tcPr>
            <w:tcW w:type="dxa" w:w="6482"/>
            <w:shd w:fill="D9EAF7" w:color="auto" w:val="clear"/>
            <w:tcMar>
              <w:top w:type="dxa" w:w="70"/>
              <w:left w:type="dxa" w:w="100"/>
              <w:bottom w:type="dxa" w:w="70"/>
              <w:right w:type="dxa" w:w="100"/>
            </w:tcMar>
            <w:vAlign w:val="top"/>
          </w:tcPr>
          <w:p>
            <w:pPr>
              <w:spacing w:after="40"/>
            </w:pPr>
            <w:r>
              <w:rPr>
                <w:b/>
                <w:bCs/>
                <w:sz w:val="20"/>
                <w:szCs w:val="20"/>
              </w:rPr>
              <w:t xml:space="preserve">Wat je zegt</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 Titel</w:t>
            </w:r>
          </w:p>
        </w:tc>
        <w:tc>
          <w:tcPr>
            <w:tcW w:type="dxa" w:w="900"/>
            <w:tcMar>
              <w:top w:type="dxa" w:w="70"/>
              <w:left w:type="dxa" w:w="100"/>
              <w:bottom w:type="dxa" w:w="70"/>
              <w:right w:type="dxa" w:w="100"/>
            </w:tcMar>
            <w:vAlign w:val="top"/>
          </w:tcPr>
          <w:p>
            <w:pPr>
              <w:spacing w:after="40"/>
            </w:pPr>
            <w:r>
              <w:rPr>
                <w:b w:val="false"/>
                <w:bCs w:val="false"/>
                <w:sz w:val="20"/>
                <w:szCs w:val="20"/>
              </w:rPr>
              <w:t xml:space="preserve">0:00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Hoi, wij zijn groep 3. Wij presenteren sprint 1 en 2 van Project Enexis. In sprint 1 waren we de directie van Enexis. In sprint 2 waren we de consultant en onderzochten we de energiemarkt.</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2. Opbouw</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0:20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We beginnen met hoe we het onderzoek deden en wie Enexis is. Dan het bedrijfsmodel. Daarna de analyse met twee datavragen. We sluiten af met conclusie en advies. Het BMC en de datavragen krijgen de meeste tijd, want dat was onze feedback.</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3. Onderzoeksmethode</w:t>
            </w:r>
          </w:p>
        </w:tc>
        <w:tc>
          <w:tcPr>
            <w:tcW w:type="dxa" w:w="900"/>
            <w:tcMar>
              <w:top w:type="dxa" w:w="70"/>
              <w:left w:type="dxa" w:w="100"/>
              <w:bottom w:type="dxa" w:w="70"/>
              <w:right w:type="dxa" w:w="100"/>
            </w:tcMar>
            <w:vAlign w:val="top"/>
          </w:tcPr>
          <w:p>
            <w:pPr>
              <w:spacing w:after="40"/>
            </w:pPr>
            <w:r>
              <w:rPr>
                <w:b w:val="false"/>
                <w:bCs w:val="false"/>
                <w:sz w:val="20"/>
                <w:szCs w:val="20"/>
              </w:rPr>
              <w:t xml:space="preserve">0:45</w:t>
            </w:r>
          </w:p>
        </w:tc>
        <w:tc>
          <w:tcPr>
            <w:tcW w:type="dxa" w:w="6482"/>
            <w:tcMar>
              <w:top w:type="dxa" w:w="70"/>
              <w:left w:type="dxa" w:w="100"/>
              <w:bottom w:type="dxa" w:w="70"/>
              <w:right w:type="dxa" w:w="100"/>
            </w:tcMar>
            <w:vAlign w:val="top"/>
          </w:tcPr>
          <w:p>
            <w:pPr>
              <w:spacing w:after="40"/>
            </w:pPr>
            <w:r>
              <w:rPr>
                <w:b w:val="false"/>
                <w:bCs w:val="false"/>
                <w:sz w:val="20"/>
                <w:szCs w:val="20"/>
              </w:rPr>
              <w:t xml:space="preserve">We deden deskresearch. We gebruikten eerst officiële bronnen, zoals CBS, ACM en het jaarverslag van Enexis. De CBS-cijfers over energieprijzen hebben we in Excel gezet. Interviews hebben we niet gehouden, maar we hebben wel vragen voor de gastspreker voorbereid.</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4. CRAAP</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1:30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Elke bron hebben we beoordeeld met CRAAP. Bovenaan zie je sterke bronnen, zoals het CBS. Onderaan zie je zwakke bronnen, zoals vergelijkingssites. Die gebruiken we alleen voor simpele feiten. In totaal hebben we 32 bronnen beoordeeld.</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5. Wie is Enexis?</w:t>
            </w:r>
          </w:p>
        </w:tc>
        <w:tc>
          <w:tcPr>
            <w:tcW w:type="dxa" w:w="900"/>
            <w:tcMar>
              <w:top w:type="dxa" w:w="70"/>
              <w:left w:type="dxa" w:w="100"/>
              <w:bottom w:type="dxa" w:w="70"/>
              <w:right w:type="dxa" w:w="100"/>
            </w:tcMar>
            <w:vAlign w:val="top"/>
          </w:tcPr>
          <w:p>
            <w:pPr>
              <w:spacing w:after="40"/>
            </w:pPr>
            <w:r>
              <w:rPr>
                <w:b w:val="false"/>
                <w:bCs w:val="false"/>
                <w:sz w:val="20"/>
                <w:szCs w:val="20"/>
              </w:rPr>
              <w:t xml:space="preserve">2:15</w:t>
            </w:r>
          </w:p>
        </w:tc>
        <w:tc>
          <w:tcPr>
            <w:tcW w:type="dxa" w:w="6482"/>
            <w:tcMar>
              <w:top w:type="dxa" w:w="70"/>
              <w:left w:type="dxa" w:w="100"/>
              <w:bottom w:type="dxa" w:w="70"/>
              <w:right w:type="dxa" w:w="100"/>
            </w:tcMar>
            <w:vAlign w:val="top"/>
          </w:tcPr>
          <w:p>
            <w:pPr>
              <w:spacing w:after="40"/>
            </w:pPr>
            <w:r>
              <w:rPr>
                <w:b w:val="false"/>
                <w:bCs w:val="false"/>
                <w:sz w:val="20"/>
                <w:szCs w:val="20"/>
              </w:rPr>
              <w:t xml:space="preserve">Enexis is een netbeheerder in vijf provincies. Ze hebben ongeveer 3 miljoen klanten. Enexis verkoopt geen energie, maar vervoert die. Daarom is er geen concurrentie en houdt de ACM toezicht.</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6. Energiemarkt</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2:50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Stroom wordt opgewekt, gaat via TenneT naar Enexis en dan naar de klant. De leverancier verkoopt de energie en stuurt de rekening. Er zijn 6 regionale netbeheerders en ruim 50 leveranciers.</w:t>
            </w:r>
          </w:p>
        </w:tc>
      </w:tr>
    </w:tbl>
    <w:p>
      <w:pPr>
        <w:keepNext/>
        <w:spacing w:after="60" w:before="240"/>
      </w:pPr>
      <w:r>
        <w:rPr>
          <w:rFonts w:ascii="Calibri Light" w:cs="Calibri Light" w:eastAsia="Calibri Light" w:hAnsi="Calibri Light"/>
          <w:b/>
          <w:bCs/>
          <w:color w:val="2F5597"/>
          <w:sz w:val="26"/>
          <w:szCs w:val="26"/>
        </w:rPr>
        <w:t xml:space="preserve">Deel 2: Bedrijfsmodel (3 min)</w:t>
      </w:r>
    </w:p>
    <w:p>
      <w:pPr>
        <w:keepNext/>
        <w:spacing w:after="100"/>
      </w:pPr>
      <w:r>
        <w:rPr>
          <w:color w:val="595959"/>
          <w:sz w:val="20"/>
          <w:szCs w:val="20"/>
        </w:rPr>
        <w:t xml:space="preserve">Spreker: ______________________</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250"/>
        <w:gridCol w:w="900"/>
        <w:gridCol w:w="6482"/>
      </w:tblGrid>
      <w:tr>
        <w:trPr>
          <w:tblHeader/>
        </w:trPr>
        <w:tc>
          <w:tcPr>
            <w:tcW w:type="dxa" w:w="2250"/>
            <w:shd w:fill="D9EAF7" w:color="auto" w:val="clear"/>
            <w:tcMar>
              <w:top w:type="dxa" w:w="70"/>
              <w:left w:type="dxa" w:w="100"/>
              <w:bottom w:type="dxa" w:w="70"/>
              <w:right w:type="dxa" w:w="100"/>
            </w:tcMar>
            <w:vAlign w:val="top"/>
          </w:tcPr>
          <w:p>
            <w:pPr>
              <w:spacing w:after="40"/>
            </w:pPr>
            <w:r>
              <w:rPr>
                <w:b/>
                <w:bCs/>
                <w:sz w:val="20"/>
                <w:szCs w:val="20"/>
              </w:rPr>
              <w:t xml:space="preserve">Slide</w:t>
            </w:r>
          </w:p>
        </w:tc>
        <w:tc>
          <w:tcPr>
            <w:tcW w:type="dxa" w:w="900"/>
            <w:shd w:fill="D9EAF7" w:color="auto" w:val="clear"/>
            <w:tcMar>
              <w:top w:type="dxa" w:w="70"/>
              <w:left w:type="dxa" w:w="100"/>
              <w:bottom w:type="dxa" w:w="70"/>
              <w:right w:type="dxa" w:w="100"/>
            </w:tcMar>
            <w:vAlign w:val="top"/>
          </w:tcPr>
          <w:p>
            <w:pPr>
              <w:spacing w:after="40"/>
            </w:pPr>
            <w:r>
              <w:rPr>
                <w:b/>
                <w:bCs/>
                <w:sz w:val="20"/>
                <w:szCs w:val="20"/>
              </w:rPr>
              <w:t xml:space="preserve">Tijd</w:t>
            </w:r>
          </w:p>
        </w:tc>
        <w:tc>
          <w:tcPr>
            <w:tcW w:type="dxa" w:w="6482"/>
            <w:shd w:fill="D9EAF7" w:color="auto" w:val="clear"/>
            <w:tcMar>
              <w:top w:type="dxa" w:w="70"/>
              <w:left w:type="dxa" w:w="100"/>
              <w:bottom w:type="dxa" w:w="70"/>
              <w:right w:type="dxa" w:w="100"/>
            </w:tcMar>
            <w:vAlign w:val="top"/>
          </w:tcPr>
          <w:p>
            <w:pPr>
              <w:spacing w:after="40"/>
            </w:pPr>
            <w:r>
              <w:rPr>
                <w:b/>
                <w:bCs/>
                <w:sz w:val="20"/>
                <w:szCs w:val="20"/>
              </w:rPr>
              <w:t xml:space="preserve">Wat je zegt</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7. Volledig BMC</w:t>
            </w:r>
          </w:p>
        </w:tc>
        <w:tc>
          <w:tcPr>
            <w:tcW w:type="dxa" w:w="900"/>
            <w:tcMar>
              <w:top w:type="dxa" w:w="70"/>
              <w:left w:type="dxa" w:w="100"/>
              <w:bottom w:type="dxa" w:w="70"/>
              <w:right w:type="dxa" w:w="100"/>
            </w:tcMar>
            <w:vAlign w:val="top"/>
          </w:tcPr>
          <w:p>
            <w:pPr>
              <w:spacing w:after="40"/>
            </w:pPr>
            <w:r>
              <w:rPr>
                <w:b w:val="false"/>
                <w:bCs w:val="false"/>
                <w:sz w:val="20"/>
                <w:szCs w:val="20"/>
              </w:rPr>
              <w:t xml:space="preserve">3:30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Dit is ons volledige Business Model Canvas uit sprint 1. We werken twee bouwstenen uit: kernactiviteiten en partners. Daar zit het grootste probleem van Enexis: het net zit vol.</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8. Kernactiviteiten</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4:00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Enexis doet vier dingen. Aansluiten: ruim 15.000 bedrijven wachten. Verzwaren: in 2025 investeerde Enexis 1,9 miljard euro. Storingen oplossen: gemiddeld 18,8 minuten. En de ruimte op het net slim verdelen.</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9. Partners</w:t>
            </w:r>
          </w:p>
        </w:tc>
        <w:tc>
          <w:tcPr>
            <w:tcW w:type="dxa" w:w="900"/>
            <w:tcMar>
              <w:top w:type="dxa" w:w="70"/>
              <w:left w:type="dxa" w:w="100"/>
              <w:bottom w:type="dxa" w:w="70"/>
              <w:right w:type="dxa" w:w="100"/>
            </w:tcMar>
            <w:vAlign w:val="top"/>
          </w:tcPr>
          <w:p>
            <w:pPr>
              <w:spacing w:after="40"/>
            </w:pPr>
            <w:r>
              <w:rPr>
                <w:b w:val="false"/>
                <w:bCs w:val="false"/>
                <w:sz w:val="20"/>
                <w:szCs w:val="20"/>
              </w:rPr>
              <w:t xml:space="preserve">5:15</w:t>
            </w:r>
          </w:p>
        </w:tc>
        <w:tc>
          <w:tcPr>
            <w:tcW w:type="dxa" w:w="6482"/>
            <w:tcMar>
              <w:top w:type="dxa" w:w="70"/>
              <w:left w:type="dxa" w:w="100"/>
              <w:bottom w:type="dxa" w:w="70"/>
              <w:right w:type="dxa" w:w="100"/>
            </w:tcMar>
            <w:vAlign w:val="top"/>
          </w:tcPr>
          <w:p>
            <w:pPr>
              <w:spacing w:after="40"/>
            </w:pPr>
            <w:r>
              <w:rPr>
                <w:b w:val="false"/>
                <w:bCs w:val="false"/>
                <w:sz w:val="20"/>
                <w:szCs w:val="20"/>
              </w:rPr>
              <w:t xml:space="preserve">Enexis kan dit niet alleen. TenneT moet eerst ruimte geven op het hoogspanningsnet. Gemeenten bepalen welke wijken van het gas af gaan. Leveranciers innen het geld en aannemers doen het werk.</w:t>
            </w:r>
          </w:p>
        </w:tc>
      </w:tr>
    </w:tbl>
    <w:p>
      <w:pPr>
        <w:keepNext/>
        <w:spacing w:after="60" w:before="240"/>
      </w:pPr>
      <w:r>
        <w:rPr>
          <w:rFonts w:ascii="Calibri Light" w:cs="Calibri Light" w:eastAsia="Calibri Light" w:hAnsi="Calibri Light"/>
          <w:b/>
          <w:bCs/>
          <w:color w:val="2F5597"/>
          <w:sz w:val="26"/>
          <w:szCs w:val="26"/>
        </w:rPr>
        <w:t xml:space="preserve">Deel 3: Analyse (6 min)</w:t>
      </w:r>
    </w:p>
    <w:p>
      <w:pPr>
        <w:keepNext/>
        <w:spacing w:after="100"/>
      </w:pPr>
      <w:r>
        <w:rPr>
          <w:color w:val="595959"/>
          <w:sz w:val="20"/>
          <w:szCs w:val="20"/>
        </w:rPr>
        <w:t xml:space="preserve">Spreker: ______________________</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250"/>
        <w:gridCol w:w="900"/>
        <w:gridCol w:w="6482"/>
      </w:tblGrid>
      <w:tr>
        <w:trPr>
          <w:tblHeader/>
        </w:trPr>
        <w:tc>
          <w:tcPr>
            <w:tcW w:type="dxa" w:w="2250"/>
            <w:shd w:fill="D9EAF7" w:color="auto" w:val="clear"/>
            <w:tcMar>
              <w:top w:type="dxa" w:w="70"/>
              <w:left w:type="dxa" w:w="100"/>
              <w:bottom w:type="dxa" w:w="70"/>
              <w:right w:type="dxa" w:w="100"/>
            </w:tcMar>
            <w:vAlign w:val="top"/>
          </w:tcPr>
          <w:p>
            <w:pPr>
              <w:spacing w:after="40"/>
            </w:pPr>
            <w:r>
              <w:rPr>
                <w:b/>
                <w:bCs/>
                <w:sz w:val="20"/>
                <w:szCs w:val="20"/>
              </w:rPr>
              <w:t xml:space="preserve">Slide</w:t>
            </w:r>
          </w:p>
        </w:tc>
        <w:tc>
          <w:tcPr>
            <w:tcW w:type="dxa" w:w="900"/>
            <w:shd w:fill="D9EAF7" w:color="auto" w:val="clear"/>
            <w:tcMar>
              <w:top w:type="dxa" w:w="70"/>
              <w:left w:type="dxa" w:w="100"/>
              <w:bottom w:type="dxa" w:w="70"/>
              <w:right w:type="dxa" w:w="100"/>
            </w:tcMar>
            <w:vAlign w:val="top"/>
          </w:tcPr>
          <w:p>
            <w:pPr>
              <w:spacing w:after="40"/>
            </w:pPr>
            <w:r>
              <w:rPr>
                <w:b/>
                <w:bCs/>
                <w:sz w:val="20"/>
                <w:szCs w:val="20"/>
              </w:rPr>
              <w:t xml:space="preserve">Tijd</w:t>
            </w:r>
          </w:p>
        </w:tc>
        <w:tc>
          <w:tcPr>
            <w:tcW w:type="dxa" w:w="6482"/>
            <w:shd w:fill="D9EAF7" w:color="auto" w:val="clear"/>
            <w:tcMar>
              <w:top w:type="dxa" w:w="70"/>
              <w:left w:type="dxa" w:w="100"/>
              <w:bottom w:type="dxa" w:w="70"/>
              <w:right w:type="dxa" w:w="100"/>
            </w:tcMar>
            <w:vAlign w:val="top"/>
          </w:tcPr>
          <w:p>
            <w:pPr>
              <w:spacing w:after="40"/>
            </w:pPr>
            <w:r>
              <w:rPr>
                <w:b/>
                <w:bCs/>
                <w:sz w:val="20"/>
                <w:szCs w:val="20"/>
              </w:rPr>
              <w:t xml:space="preserve">Wat je zegt</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10. Hypothese</w:t>
            </w:r>
          </w:p>
        </w:tc>
        <w:tc>
          <w:tcPr>
            <w:tcW w:type="dxa" w:w="900"/>
            <w:tcMar>
              <w:top w:type="dxa" w:w="70"/>
              <w:left w:type="dxa" w:w="100"/>
              <w:bottom w:type="dxa" w:w="70"/>
              <w:right w:type="dxa" w:w="100"/>
            </w:tcMar>
            <w:vAlign w:val="top"/>
          </w:tcPr>
          <w:p>
            <w:pPr>
              <w:spacing w:after="40"/>
            </w:pPr>
            <w:r>
              <w:rPr>
                <w:b w:val="false"/>
                <w:bCs w:val="false"/>
                <w:sz w:val="20"/>
                <w:szCs w:val="20"/>
              </w:rPr>
              <w:t xml:space="preserve">6:30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In sprint 1 hadden we deze hypothese: bedrijfsterreinen verbruiken het meest, woonwijken gemiddeld en natuur het minst. Die kunnen we toetsen met de open data van Enexis per postcode.</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11. Energierekening</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7:00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De rekening bestaat uit vier delen: levering, netbeheer, belasting en btw. Enexis krijgt alleen het netbeheer-deel.</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12. Datavraag 1</w:t>
            </w:r>
          </w:p>
        </w:tc>
        <w:tc>
          <w:tcPr>
            <w:tcW w:type="dxa" w:w="900"/>
            <w:tcMar>
              <w:top w:type="dxa" w:w="70"/>
              <w:left w:type="dxa" w:w="100"/>
              <w:bottom w:type="dxa" w:w="70"/>
              <w:right w:type="dxa" w:w="100"/>
            </w:tcMar>
            <w:vAlign w:val="top"/>
          </w:tcPr>
          <w:p>
            <w:pPr>
              <w:spacing w:after="40"/>
            </w:pPr>
            <w:r>
              <w:rPr>
                <w:b w:val="false"/>
                <w:bCs w:val="false"/>
                <w:sz w:val="20"/>
                <w:szCs w:val="20"/>
              </w:rPr>
              <w:t xml:space="preserve">7:30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Onze eerste datavraag: hoe veranderde de energieprijs in 2022? Gas ging van 1,20 naar 2,78 euro per kuub. Stroom ging van 32 naar 66 cent. De oorzaak was vooral de oorlog in Oekraïne en minder Russisch gas.</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13. Datavraag 2</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8:50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Onze tweede datavraag: hoe vaak is er te veel stroom? In 2022 was de stroomprijs 85 uur negatief, in 2025 al 581 uur. Tegelijk wachten ruim 15.000 bedrijven op een aansluiting. Het net is dus soms te vol en soms te leeg.</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14. Oplossingen</w:t>
            </w:r>
          </w:p>
        </w:tc>
        <w:tc>
          <w:tcPr>
            <w:tcW w:type="dxa" w:w="900"/>
            <w:tcMar>
              <w:top w:type="dxa" w:w="70"/>
              <w:left w:type="dxa" w:w="100"/>
              <w:bottom w:type="dxa" w:w="70"/>
              <w:right w:type="dxa" w:w="100"/>
            </w:tcMar>
            <w:vAlign w:val="top"/>
          </w:tcPr>
          <w:p>
            <w:pPr>
              <w:spacing w:after="40"/>
            </w:pPr>
            <w:r>
              <w:rPr>
                <w:b w:val="false"/>
                <w:bCs w:val="false"/>
                <w:sz w:val="20"/>
                <w:szCs w:val="20"/>
              </w:rPr>
              <w:t xml:space="preserve">10:00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Dit speelt vooral in de provincies van Enexis. Netbeheerders leggen meer kabels, maar dat duurt lang. Daarom gebruiken ze ook slimme oplossingen, zoals batterijen en afspraken met bedrijven.</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15. Duurzaamheid</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10:45</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Nederland wordt groener: de helft van de stroom is al duurzaam. Pure Energie scoort een 10, Eneco een 8,1 en Essent een 4,8. Maar pas 11,2 procent van de woningen is van het gas af. Dat gaat te langzaam.</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16. Privacy</w:t>
            </w:r>
          </w:p>
        </w:tc>
        <w:tc>
          <w:tcPr>
            <w:tcW w:type="dxa" w:w="900"/>
            <w:tcMar>
              <w:top w:type="dxa" w:w="70"/>
              <w:left w:type="dxa" w:w="100"/>
              <w:bottom w:type="dxa" w:w="70"/>
              <w:right w:type="dxa" w:w="100"/>
            </w:tcMar>
            <w:vAlign w:val="top"/>
          </w:tcPr>
          <w:p>
            <w:pPr>
              <w:spacing w:after="40"/>
            </w:pPr>
            <w:r>
              <w:rPr>
                <w:b w:val="false"/>
                <w:bCs w:val="false"/>
                <w:sz w:val="20"/>
                <w:szCs w:val="20"/>
              </w:rPr>
              <w:t xml:space="preserve">11:30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Bij Enexis vonden we geen datalek, dus we kozen drie andere incidenten. Bij Eneco hackers met gestolen wachtwoorden. Bij AddComm ransomware. Bij Innova Energie een medewerker die gegevens kopieerde. Volgens de AVG moet je een lek binnen 72 uur melden.</w:t>
            </w:r>
          </w:p>
        </w:tc>
      </w:tr>
    </w:tbl>
    <w:p>
      <w:pPr>
        <w:keepNext/>
        <w:spacing w:after="60" w:before="240"/>
      </w:pPr>
      <w:r>
        <w:rPr>
          <w:rFonts w:ascii="Calibri Light" w:cs="Calibri Light" w:eastAsia="Calibri Light" w:hAnsi="Calibri Light"/>
          <w:b/>
          <w:bCs/>
          <w:color w:val="2F5597"/>
          <w:sz w:val="26"/>
          <w:szCs w:val="26"/>
        </w:rPr>
        <w:t xml:space="preserve">Deel 4: Conclusie (2,5 min)</w:t>
      </w:r>
    </w:p>
    <w:p>
      <w:pPr>
        <w:keepNext/>
        <w:spacing w:after="100"/>
      </w:pPr>
      <w:r>
        <w:rPr>
          <w:color w:val="595959"/>
          <w:sz w:val="20"/>
          <w:szCs w:val="20"/>
        </w:rPr>
        <w:t xml:space="preserve">Spreker: ______________________</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250"/>
        <w:gridCol w:w="900"/>
        <w:gridCol w:w="6482"/>
      </w:tblGrid>
      <w:tr>
        <w:trPr>
          <w:tblHeader/>
        </w:trPr>
        <w:tc>
          <w:tcPr>
            <w:tcW w:type="dxa" w:w="2250"/>
            <w:shd w:fill="D9EAF7" w:color="auto" w:val="clear"/>
            <w:tcMar>
              <w:top w:type="dxa" w:w="70"/>
              <w:left w:type="dxa" w:w="100"/>
              <w:bottom w:type="dxa" w:w="70"/>
              <w:right w:type="dxa" w:w="100"/>
            </w:tcMar>
            <w:vAlign w:val="top"/>
          </w:tcPr>
          <w:p>
            <w:pPr>
              <w:spacing w:after="40"/>
            </w:pPr>
            <w:r>
              <w:rPr>
                <w:b/>
                <w:bCs/>
                <w:sz w:val="20"/>
                <w:szCs w:val="20"/>
              </w:rPr>
              <w:t xml:space="preserve">Slide</w:t>
            </w:r>
          </w:p>
        </w:tc>
        <w:tc>
          <w:tcPr>
            <w:tcW w:type="dxa" w:w="900"/>
            <w:shd w:fill="D9EAF7" w:color="auto" w:val="clear"/>
            <w:tcMar>
              <w:top w:type="dxa" w:w="70"/>
              <w:left w:type="dxa" w:w="100"/>
              <w:bottom w:type="dxa" w:w="70"/>
              <w:right w:type="dxa" w:w="100"/>
            </w:tcMar>
            <w:vAlign w:val="top"/>
          </w:tcPr>
          <w:p>
            <w:pPr>
              <w:spacing w:after="40"/>
            </w:pPr>
            <w:r>
              <w:rPr>
                <w:b/>
                <w:bCs/>
                <w:sz w:val="20"/>
                <w:szCs w:val="20"/>
              </w:rPr>
              <w:t xml:space="preserve">Tijd</w:t>
            </w:r>
          </w:p>
        </w:tc>
        <w:tc>
          <w:tcPr>
            <w:tcW w:type="dxa" w:w="6482"/>
            <w:shd w:fill="D9EAF7" w:color="auto" w:val="clear"/>
            <w:tcMar>
              <w:top w:type="dxa" w:w="70"/>
              <w:left w:type="dxa" w:w="100"/>
              <w:bottom w:type="dxa" w:w="70"/>
              <w:right w:type="dxa" w:w="100"/>
            </w:tcMar>
            <w:vAlign w:val="top"/>
          </w:tcPr>
          <w:p>
            <w:pPr>
              <w:spacing w:after="40"/>
            </w:pPr>
            <w:r>
              <w:rPr>
                <w:b/>
                <w:bCs/>
                <w:sz w:val="20"/>
                <w:szCs w:val="20"/>
              </w:rPr>
              <w:t xml:space="preserve">Wat je zegt</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17. Conclusie</w:t>
            </w:r>
          </w:p>
        </w:tc>
        <w:tc>
          <w:tcPr>
            <w:tcW w:type="dxa" w:w="900"/>
            <w:tcMar>
              <w:top w:type="dxa" w:w="70"/>
              <w:left w:type="dxa" w:w="100"/>
              <w:bottom w:type="dxa" w:w="70"/>
              <w:right w:type="dxa" w:w="100"/>
            </w:tcMar>
            <w:vAlign w:val="top"/>
          </w:tcPr>
          <w:p>
            <w:pPr>
              <w:spacing w:after="40"/>
            </w:pPr>
            <w:r>
              <w:rPr>
                <w:b w:val="false"/>
                <w:bCs w:val="false"/>
                <w:sz w:val="20"/>
                <w:szCs w:val="20"/>
              </w:rPr>
              <w:t xml:space="preserve">12:30</w:t>
            </w:r>
          </w:p>
        </w:tc>
        <w:tc>
          <w:tcPr>
            <w:tcW w:type="dxa" w:w="6482"/>
            <w:tcMar>
              <w:top w:type="dxa" w:w="70"/>
              <w:left w:type="dxa" w:w="100"/>
              <w:bottom w:type="dxa" w:w="70"/>
              <w:right w:type="dxa" w:w="100"/>
            </w:tcMar>
            <w:vAlign w:val="top"/>
          </w:tcPr>
          <w:p>
            <w:pPr>
              <w:spacing w:after="40"/>
            </w:pPr>
            <w:r>
              <w:rPr>
                <w:b w:val="false"/>
                <w:bCs w:val="false"/>
                <w:sz w:val="20"/>
                <w:szCs w:val="20"/>
              </w:rPr>
              <w:t xml:space="preserve">Onze conclusie: het net is tegelijk te vol en te leeg, en Enexis kan dit niet alleen oplossen. Enexis heeft veel data, maar kijkt daarmee vooral terug. Ze moeten vooruitkijken.</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18. Advies</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13:00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Ons belangrijkste advies: voorspel waar het net vol loopt. Dat kan met data die Enexis al heeft, zoals slimme meters en de wachtlijst.</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19. Gastspreker</w:t>
            </w:r>
          </w:p>
        </w:tc>
        <w:tc>
          <w:tcPr>
            <w:tcW w:type="dxa" w:w="900"/>
            <w:tcMar>
              <w:top w:type="dxa" w:w="70"/>
              <w:left w:type="dxa" w:w="100"/>
              <w:bottom w:type="dxa" w:w="70"/>
              <w:right w:type="dxa" w:w="100"/>
            </w:tcMar>
            <w:vAlign w:val="top"/>
          </w:tcPr>
          <w:p>
            <w:pPr>
              <w:spacing w:after="40"/>
            </w:pPr>
            <w:r>
              <w:rPr>
                <w:b w:val="false"/>
                <w:bCs w:val="false"/>
                <w:sz w:val="20"/>
                <w:szCs w:val="20"/>
              </w:rPr>
              <w:t xml:space="preserve">13:45</w:t>
            </w:r>
          </w:p>
        </w:tc>
        <w:tc>
          <w:tcPr>
            <w:tcW w:type="dxa" w:w="6482"/>
            <w:tcMar>
              <w:top w:type="dxa" w:w="70"/>
              <w:left w:type="dxa" w:w="100"/>
              <w:bottom w:type="dxa" w:w="70"/>
              <w:right w:type="dxa" w:w="100"/>
            </w:tcMar>
            <w:vAlign w:val="top"/>
          </w:tcPr>
          <w:p>
            <w:pPr>
              <w:spacing w:after="40"/>
            </w:pPr>
            <w:r>
              <w:rPr>
                <w:b w:val="false"/>
                <w:bCs w:val="false"/>
                <w:sz w:val="20"/>
                <w:szCs w:val="20"/>
              </w:rPr>
              <w:t xml:space="preserve">Deze vragen willen we aan de gastspreker stellen. Zo kunnen we checken of onze adviezen kloppen.</w:t>
            </w:r>
          </w:p>
        </w:tc>
      </w:tr>
      <w:tr>
        <w:trPr>
          <w:cantSplit/>
        </w:trPr>
        <w:tc>
          <w:tcPr>
            <w:tcW w:type="dxa" w:w="2250"/>
            <w:shd w:fill="F7FAFC" w:color="auto" w:val="clear"/>
            <w:tcMar>
              <w:top w:type="dxa" w:w="70"/>
              <w:left w:type="dxa" w:w="100"/>
              <w:bottom w:type="dxa" w:w="70"/>
              <w:right w:type="dxa" w:w="100"/>
            </w:tcMar>
            <w:vAlign w:val="top"/>
          </w:tcPr>
          <w:p>
            <w:pPr>
              <w:spacing w:after="40"/>
            </w:pPr>
            <w:r>
              <w:rPr>
                <w:b/>
                <w:bCs/>
                <w:sz w:val="20"/>
                <w:szCs w:val="20"/>
              </w:rPr>
              <w:t xml:space="preserve">20. Samenwerking</w:t>
            </w:r>
          </w:p>
        </w:tc>
        <w:tc>
          <w:tcPr>
            <w:tcW w:type="dxa" w:w="900"/>
            <w:shd w:fill="F7FAFC" w:color="auto" w:val="clear"/>
            <w:tcMar>
              <w:top w:type="dxa" w:w="70"/>
              <w:left w:type="dxa" w:w="100"/>
              <w:bottom w:type="dxa" w:w="70"/>
              <w:right w:type="dxa" w:w="100"/>
            </w:tcMar>
            <w:vAlign w:val="top"/>
          </w:tcPr>
          <w:p>
            <w:pPr>
              <w:spacing w:after="40"/>
            </w:pPr>
            <w:r>
              <w:rPr>
                <w:b w:val="false"/>
                <w:bCs w:val="false"/>
                <w:sz w:val="20"/>
                <w:szCs w:val="20"/>
              </w:rPr>
              <w:t xml:space="preserve">14:10</w:t>
            </w:r>
          </w:p>
        </w:tc>
        <w:tc>
          <w:tcPr>
            <w:tcW w:type="dxa" w:w="6482"/>
            <w:shd w:fill="F7FAFC" w:color="auto" w:val="clear"/>
            <w:tcMar>
              <w:top w:type="dxa" w:w="70"/>
              <w:left w:type="dxa" w:w="100"/>
              <w:bottom w:type="dxa" w:w="70"/>
              <w:right w:type="dxa" w:w="100"/>
            </w:tcMar>
            <w:vAlign w:val="top"/>
          </w:tcPr>
          <w:p>
            <w:pPr>
              <w:spacing w:after="40"/>
            </w:pPr>
            <w:r>
              <w:rPr>
                <w:b w:val="false"/>
                <w:bCs w:val="false"/>
                <w:sz w:val="20"/>
                <w:szCs w:val="20"/>
              </w:rPr>
              <w:t xml:space="preserve">In sprint 1 begonnen we rommelig. In sprint 2 maakten we eerst afspraken en lazen we elkaars werk na. AI gebruikten we als hulp, maar nooit als bron.</w:t>
            </w:r>
          </w:p>
        </w:tc>
      </w:tr>
      <w:tr>
        <w:trPr>
          <w:cantSplit/>
        </w:trPr>
        <w:tc>
          <w:tcPr>
            <w:tcW w:type="dxa" w:w="2250"/>
            <w:tcMar>
              <w:top w:type="dxa" w:w="70"/>
              <w:left w:type="dxa" w:w="100"/>
              <w:bottom w:type="dxa" w:w="70"/>
              <w:right w:type="dxa" w:w="100"/>
            </w:tcMar>
            <w:vAlign w:val="top"/>
          </w:tcPr>
          <w:p>
            <w:pPr>
              <w:spacing w:after="40"/>
            </w:pPr>
            <w:r>
              <w:rPr>
                <w:b/>
                <w:bCs/>
                <w:sz w:val="20"/>
                <w:szCs w:val="20"/>
              </w:rPr>
              <w:t xml:space="preserve">21. Vragen</w:t>
            </w:r>
          </w:p>
        </w:tc>
        <w:tc>
          <w:tcPr>
            <w:tcW w:type="dxa" w:w="900"/>
            <w:tcMar>
              <w:top w:type="dxa" w:w="70"/>
              <w:left w:type="dxa" w:w="100"/>
              <w:bottom w:type="dxa" w:w="70"/>
              <w:right w:type="dxa" w:w="100"/>
            </w:tcMar>
            <w:vAlign w:val="top"/>
          </w:tcPr>
          <w:p>
            <w:pPr>
              <w:spacing w:after="40"/>
            </w:pPr>
            <w:r>
              <w:rPr>
                <w:b w:val="false"/>
                <w:bCs w:val="false"/>
                <w:sz w:val="20"/>
                <w:szCs w:val="20"/>
              </w:rPr>
              <w:t xml:space="preserve">14:45</w:t>
            </w:r>
          </w:p>
        </w:tc>
        <w:tc>
          <w:tcPr>
            <w:tcW w:type="dxa" w:w="6482"/>
            <w:tcMar>
              <w:top w:type="dxa" w:w="70"/>
              <w:left w:type="dxa" w:w="100"/>
              <w:bottom w:type="dxa" w:w="70"/>
              <w:right w:type="dxa" w:w="100"/>
            </w:tcMar>
            <w:vAlign w:val="top"/>
          </w:tcPr>
          <w:p>
            <w:pPr>
              <w:spacing w:after="40"/>
            </w:pPr>
            <w:r>
              <w:rPr>
                <w:b w:val="false"/>
                <w:bCs w:val="false"/>
                <w:sz w:val="20"/>
                <w:szCs w:val="20"/>
              </w:rPr>
              <w:t xml:space="preserve">Bedankt voor jullie aandacht. Zijn er vragen?</w:t>
            </w:r>
          </w:p>
        </w:tc>
      </w:tr>
    </w:tbl>
    <w:sectPr>
      <w:headerReference w:type="default" r:id="rId7"/>
      <w:footerReference w:type="default" r:id="rId8"/>
      <w:pgSz w:w="12240" w:h="15840" w:orient="portrait"/>
      <w:pgMar w:top="1247" w:right="1304" w:bottom="1134" w:left="130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Pagina </w:t>
    </w: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Datalab 1 | Spreektekst presentatie sprint 1 en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1"/>
        <w:szCs w:val="21"/>
      </w:rPr>
    </w:rPrDefault>
    <w:pPrDefault>
      <w:pPr>
        <w:spacing w:after="12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b/>
      <w:bCs/>
      <w:color w:val="17365D"/>
      <w:sz w:val="36"/>
      <w:szCs w:val="36"/>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F5597"/>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b/>
      <w:bCs/>
      <w:color w:val="4472C4"/>
      <w:sz w:val="23"/>
      <w:szCs w:val="23"/>
    </w:rPr>
  </w:style>
  <w:style w:type="paragraph" w:styleId="TOC1">
    <w:name w:val="toc 1"/>
    <w:basedOn w:val="Normal"/>
    <w:next w:val="Normal"/>
    <w:pPr>
      <w:spacing w:after="40" w:before="100"/>
    </w:pPr>
    <w:rPr>
      <w:b/>
      <w:bCs/>
      <w:sz w:val="21"/>
      <w:szCs w:val="21"/>
    </w:rPr>
  </w:style>
  <w:style w:type="paragraph" w:styleId="TOC2">
    <w:name w:val="toc 2"/>
    <w:basedOn w:val="Normal"/>
    <w:next w:val="Normal"/>
    <w:pPr>
      <w:spacing w:after="40"/>
      <w:ind w:left="44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Groep 3, ADSAI-DH-1.A</dc:creator>
  <cp:lastModifiedBy>Un-named</cp:lastModifiedBy>
  <cp:revision>1</cp:revision>
  <dcterms:created xsi:type="dcterms:W3CDTF">2026-10-13T10:52:10.409Z</dcterms:created>
  <dcterms:modified xsi:type="dcterms:W3CDTF">2026-10-13T10:52:10.410Z</dcterms:modified>
</cp:coreProperties>
</file>

<file path=docProps/custom.xml><?xml version="1.0" encoding="utf-8"?>
<Properties xmlns="http://schemas.openxmlformats.org/officeDocument/2006/custom-properties" xmlns:vt="http://schemas.openxmlformats.org/officeDocument/2006/docPropsVTypes"/>
</file>