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  <w:jc w:val="center"/>
      </w:pPr>
      <w:r>
        <w:rPr>
          <w:rFonts w:ascii="Liberation Sans" w:hAnsi="Liberation Sans"/>
          <w:b/>
          <w:color w:val="18392D"/>
          <w:sz w:val="46"/>
        </w:rPr>
        <w:t>PROTOCOLO CIENTÍFICO Y PROBATORIO</w:t>
      </w:r>
    </w:p>
    <w:p>
      <w:pPr>
        <w:jc w:val="center"/>
      </w:pPr>
      <w:r>
        <w:rPr>
          <w:rFonts w:ascii="Liberation Sans" w:hAnsi="Liberation Sans"/>
          <w:b/>
          <w:color w:val="245B45"/>
          <w:sz w:val="28"/>
        </w:rPr>
        <w:t>Relevamiento comunitario de biodiversidad y transformaciones territoriales</w:t>
      </w:r>
    </w:p>
    <w:p>
      <w:pPr>
        <w:jc w:val="center"/>
      </w:pPr>
      <w:r>
        <w:rPr>
          <w:rFonts w:ascii="Liberation Sans" w:hAnsi="Liberation Sans"/>
          <w:b/>
          <w:sz w:val="34"/>
        </w:rPr>
        <w:t>Biocorredor de Ministro Rivadavia</w:t>
      </w:r>
    </w:p>
    <w:p>
      <w:pPr>
        <w:spacing w:before="500"/>
        <w:jc w:val="center"/>
      </w:pPr>
      <w:r>
        <w:rPr>
          <w:rFonts w:ascii="Liberation Sans" w:hAnsi="Liberation Sans"/>
          <w:sz w:val="22"/>
        </w:rPr>
        <w:t>Versión 1.0 | Agosto de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10426"/>
            <w:shd w:fill="E7F0E9"/>
            <w:tcBorders>
              <w:top w:val="single" w:sz="8" w:color="245B45"/>
              <w:left w:val="single" w:sz="8" w:color="245B45"/>
              <w:bottom w:val="single" w:sz="8" w:color="245B45"/>
              <w:right w:val="single" w:sz="8" w:color="245B45"/>
            </w:tcBorders>
            <w:tcMar>
              <w:top w:w="200" w:type="dxa"/>
              <w:start w:w="200" w:type="dxa"/>
              <w:bottom w:w="200" w:type="dxa"/>
              <w:end w:w="20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18392D"/>
                <w:sz w:val="22"/>
              </w:rPr>
              <w:t>Propósito operativo</w:t>
            </w:r>
          </w:p>
          <w:p>
            <w:pPr>
              <w:spacing w:after="0"/>
              <w:jc w:val="center"/>
            </w:pPr>
            <w:r>
              <w:rPr>
                <w:rFonts w:ascii="Liberation Sans" w:hAnsi="Liberation Sans"/>
                <w:sz w:val="19"/>
              </w:rPr>
              <w:t>Producir registros comunitarios verificables, reproducibles y exportables sin impedir la participación de personas no especialistas ni detener el relevamiento cuando falten conectividad, GPS, fotografía o identificación taxonómica.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10426"/>
            <w:shd w:fill="F3E6C6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</w:rPr>
              <w:t xml:space="preserve">Alcance: </w:t>
            </w:r>
            <w:r>
              <w:t>este protocolo fortalece la calidad científica, la trazabilidad y el valor probatorio de los registros. No convierte automáticamente cada observación en una pericia ni garantiza por sí solo su admisión o valoración en un expediente.</w:t>
            </w:r>
          </w:p>
        </w:tc>
      </w:tr>
    </w:tbl>
    <w:p>
      <w:r>
        <w:br w:type="page"/>
      </w:r>
    </w:p>
    <w:p>
      <w:pPr>
        <w:pStyle w:val="Heading1"/>
      </w:pPr>
      <w:r>
        <w:t>Índice operativo</w:t>
      </w:r>
    </w:p>
    <w:p>
      <w:pPr>
        <w:pStyle w:val="ListBullet"/>
        <w:spacing w:after="40"/>
      </w:pPr>
      <w:r>
        <w:t>1. Objeto, alcance y principios</w:t>
      </w:r>
    </w:p>
    <w:p>
      <w:pPr>
        <w:pStyle w:val="ListBullet"/>
        <w:spacing w:after="40"/>
      </w:pPr>
      <w:r>
        <w:t>2. Estructura del relevamiento</w:t>
      </w:r>
    </w:p>
    <w:p>
      <w:pPr>
        <w:pStyle w:val="ListBullet"/>
        <w:spacing w:after="40"/>
      </w:pPr>
      <w:r>
        <w:t>3. Roles y responsabilidades</w:t>
      </w:r>
    </w:p>
    <w:p>
      <w:pPr>
        <w:pStyle w:val="ListBullet"/>
        <w:spacing w:after="40"/>
      </w:pPr>
      <w:r>
        <w:t>4. Preparación de la jornada</w:t>
      </w:r>
    </w:p>
    <w:p>
      <w:pPr>
        <w:pStyle w:val="ListBullet"/>
        <w:spacing w:after="40"/>
      </w:pPr>
      <w:r>
        <w:t>5. Diseño de muestreo y esfuerzo</w:t>
      </w:r>
    </w:p>
    <w:p>
      <w:pPr>
        <w:pStyle w:val="ListBullet"/>
        <w:spacing w:after="40"/>
      </w:pPr>
      <w:r>
        <w:t>6. Flujo de trabajo en campo</w:t>
      </w:r>
    </w:p>
    <w:p>
      <w:pPr>
        <w:pStyle w:val="ListBullet"/>
        <w:spacing w:after="40"/>
      </w:pPr>
      <w:r>
        <w:t>7. Datos mínimos y campos condicionales</w:t>
      </w:r>
    </w:p>
    <w:p>
      <w:pPr>
        <w:pStyle w:val="ListBullet"/>
        <w:spacing w:after="40"/>
      </w:pPr>
      <w:r>
        <w:t>8. Fotografías, audios y archivos originales</w:t>
      </w:r>
    </w:p>
    <w:p>
      <w:pPr>
        <w:pStyle w:val="ListBullet"/>
        <w:spacing w:after="40"/>
      </w:pPr>
      <w:r>
        <w:t>9. Georreferenciación y precisión</w:t>
      </w:r>
    </w:p>
    <w:p>
      <w:pPr>
        <w:pStyle w:val="ListBullet"/>
        <w:spacing w:after="40"/>
      </w:pPr>
      <w:r>
        <w:t>10. Identificación taxonómica y validación</w:t>
      </w:r>
    </w:p>
    <w:p>
      <w:pPr>
        <w:pStyle w:val="ListBullet"/>
        <w:spacing w:after="40"/>
      </w:pPr>
      <w:r>
        <w:t>11. Transformaciones territoriales</w:t>
      </w:r>
    </w:p>
    <w:p>
      <w:pPr>
        <w:pStyle w:val="ListBullet"/>
        <w:spacing w:after="40"/>
      </w:pPr>
      <w:r>
        <w:t>12. Trabajo offline, sincronización y conflictos</w:t>
      </w:r>
    </w:p>
    <w:p>
      <w:pPr>
        <w:pStyle w:val="ListBullet"/>
        <w:spacing w:after="40"/>
      </w:pPr>
      <w:r>
        <w:t>13. Control de calidad, cierre y manifiesto</w:t>
      </w:r>
    </w:p>
    <w:p>
      <w:pPr>
        <w:pStyle w:val="ListBullet"/>
        <w:spacing w:after="40"/>
      </w:pPr>
      <w:r>
        <w:t>14. Privacidad y coordenadas sensibles</w:t>
      </w:r>
    </w:p>
    <w:p>
      <w:pPr>
        <w:pStyle w:val="ListBullet"/>
        <w:spacing w:after="40"/>
      </w:pPr>
      <w:r>
        <w:t>15. Exportación e interoperabilidad</w:t>
      </w:r>
    </w:p>
    <w:p>
      <w:pPr>
        <w:pStyle w:val="ListBullet"/>
        <w:spacing w:after="40"/>
      </w:pPr>
      <w:r>
        <w:t>16. Uso administrativo y probatorio</w:t>
      </w:r>
    </w:p>
    <w:p>
      <w:pPr>
        <w:pStyle w:val="ListBullet"/>
        <w:spacing w:after="40"/>
      </w:pPr>
      <w:r>
        <w:t>17. Límites de interpretación</w:t>
      </w:r>
    </w:p>
    <w:p>
      <w:pPr>
        <w:pStyle w:val="ListBullet"/>
        <w:spacing w:after="40"/>
      </w:pPr>
      <w:r>
        <w:t>Anexos: códigos, acta, checklist y consentimiento</w:t>
      </w:r>
    </w:p>
    <w:p>
      <w:pPr>
        <w:pStyle w:val="Heading1"/>
      </w:pPr>
      <w:r>
        <w:t>1. Objeto, alcance y principios</w:t>
      </w:r>
    </w:p>
    <w:p>
      <w:r>
        <w:t>El protocolo regula la captura, conservación, revisión y exportación de observaciones biológicas y registros de transformaciones territoriales realizados por vecinos y colaboradores del Biocorredor de Ministro Rivadavia.</w:t>
      </w:r>
    </w:p>
    <w:p>
      <w:pPr>
        <w:pStyle w:val="ListBullet"/>
        <w:spacing w:after="40"/>
      </w:pPr>
      <w:r>
        <w:t>No perder datos: todo registro debe poder guardarse localmente antes de sincronizar.</w:t>
      </w:r>
    </w:p>
    <w:p>
      <w:pPr>
        <w:pStyle w:val="ListBullet"/>
        <w:spacing w:after="40"/>
      </w:pPr>
      <w:r>
        <w:t>Distinguir observación de interpretación: el campo registra hechos; la revisión posterior agrega identificación, estado de conservación, origen o calificación técnica.</w:t>
      </w:r>
    </w:p>
    <w:p>
      <w:pPr>
        <w:pStyle w:val="ListBullet"/>
        <w:spacing w:after="40"/>
      </w:pPr>
      <w:r>
        <w:t>Conservar incertidumbre: se admite “desconocido”, ubicación pendiente e identificación tentativa.</w:t>
      </w:r>
    </w:p>
    <w:p>
      <w:pPr>
        <w:pStyle w:val="ListBullet"/>
        <w:spacing w:after="40"/>
      </w:pPr>
      <w:r>
        <w:t>Mantener originales e historial: los archivos originales no se sobrescriben y las correcciones crean versiones.</w:t>
      </w:r>
    </w:p>
    <w:p>
      <w:pPr>
        <w:pStyle w:val="ListBullet"/>
        <w:spacing w:after="40"/>
      </w:pPr>
      <w:r>
        <w:t>Registrar método y esfuerzo: una lista de especies sin evento de muestreo tiene utilidad limitada para comparaciones.</w:t>
      </w:r>
    </w:p>
    <w:p>
      <w:pPr>
        <w:pStyle w:val="ListBullet"/>
        <w:spacing w:after="40"/>
      </w:pPr>
      <w:r>
        <w:t>Separar biodiversidad de transformaciones territoriales: pueden relacionarse, pero no deben ser el mismo registro.</w:t>
      </w:r>
    </w:p>
    <w:p>
      <w:pPr>
        <w:pStyle w:val="ListBullet"/>
        <w:spacing w:after="40"/>
      </w:pPr>
      <w:r>
        <w:t>Proteger datos sensibles: identidad de observadores y coordenadas de sitios vulnerables no se publican automáticamente.</w:t>
      </w:r>
    </w:p>
    <w:p>
      <w:pPr>
        <w:pStyle w:val="Heading1"/>
      </w:pPr>
      <w:r>
        <w:t>2. Estructura del relevamiento</w:t>
      </w:r>
    </w:p>
    <w:p>
      <w:r>
        <w:t>La unidad superior es la jornada. Dentro de ella cada equipo abre uno o más eventos o recorridos. Cada observación biológica y cada transformación territorial se vincula obligatoriamente con un evento.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  <w:shd w:fill="245B45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Nivel</w:t>
            </w:r>
          </w:p>
        </w:tc>
        <w:tc>
          <w:tcPr>
            <w:tcW w:type="dxa" w:w="260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  <w:shd w:fill="245B45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Ejemplo</w:t>
            </w:r>
          </w:p>
        </w:tc>
        <w:tc>
          <w:tcPr>
            <w:tcW w:type="dxa" w:w="260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  <w:shd w:fill="245B45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ID recomendado</w:t>
            </w:r>
          </w:p>
        </w:tc>
        <w:tc>
          <w:tcPr>
            <w:tcW w:type="dxa" w:w="260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  <w:shd w:fill="245B45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Qué contiene</w:t>
            </w:r>
          </w:p>
        </w:tc>
      </w:tr>
      <w:tr>
        <w:tc>
          <w:tcPr>
            <w:tcW w:type="dxa" w:w="260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Proyecto</w:t>
            </w:r>
          </w:p>
        </w:tc>
        <w:tc>
          <w:tcPr>
            <w:tcW w:type="dxa" w:w="260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Biocorredor MR</w:t>
            </w:r>
          </w:p>
        </w:tc>
        <w:tc>
          <w:tcPr>
            <w:tcW w:type="dxa" w:w="260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BIOCORREDOR-MR</w:t>
            </w:r>
          </w:p>
        </w:tc>
        <w:tc>
          <w:tcPr>
            <w:tcW w:type="dxa" w:w="260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Territorio, organización y configuración</w:t>
            </w:r>
          </w:p>
        </w:tc>
      </w:tr>
      <w:tr>
        <w:tc>
          <w:tcPr>
            <w:tcW w:type="dxa" w:w="260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Jornada</w:t>
            </w:r>
          </w:p>
        </w:tc>
        <w:tc>
          <w:tcPr>
            <w:tcW w:type="dxa" w:w="260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Relevamiento del 15/08/2026</w:t>
            </w:r>
          </w:p>
        </w:tc>
        <w:tc>
          <w:tcPr>
            <w:tcW w:type="dxa" w:w="260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MR-20260815</w:t>
            </w:r>
          </w:p>
        </w:tc>
        <w:tc>
          <w:tcPr>
            <w:tcW w:type="dxa" w:w="260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Equipos, sectores y objetivos</w:t>
            </w:r>
          </w:p>
        </w:tc>
      </w:tr>
      <w:tr>
        <w:tc>
          <w:tcPr>
            <w:tcW w:type="dxa" w:w="260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Evento/recorrido</w:t>
            </w:r>
          </w:p>
        </w:tc>
        <w:tc>
          <w:tcPr>
            <w:tcW w:type="dxa" w:w="260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Equipo 3, transecta norte</w:t>
            </w:r>
          </w:p>
        </w:tc>
        <w:tc>
          <w:tcPr>
            <w:tcW w:type="dxa" w:w="260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MR-20260815-E03-R01</w:t>
            </w:r>
          </w:p>
        </w:tc>
        <w:tc>
          <w:tcPr>
            <w:tcW w:type="dxa" w:w="260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Método, inicio, fin, esfuerzo y track</w:t>
            </w:r>
          </w:p>
        </w:tc>
      </w:tr>
      <w:tr>
        <w:tc>
          <w:tcPr>
            <w:tcW w:type="dxa" w:w="260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Observación</w:t>
            </w:r>
          </w:p>
        </w:tc>
        <w:tc>
          <w:tcPr>
            <w:tcW w:type="dxa" w:w="260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Planta o ave observada</w:t>
            </w:r>
          </w:p>
        </w:tc>
        <w:tc>
          <w:tcPr>
            <w:tcW w:type="dxa" w:w="260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...-OBS-0001</w:t>
            </w:r>
          </w:p>
        </w:tc>
        <w:tc>
          <w:tcPr>
            <w:tcW w:type="dxa" w:w="260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Taxón tentativo, evidencia, GPS y caracteres</w:t>
            </w:r>
          </w:p>
        </w:tc>
      </w:tr>
      <w:tr>
        <w:tc>
          <w:tcPr>
            <w:tcW w:type="dxa" w:w="260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Cambio territorial</w:t>
            </w:r>
          </w:p>
        </w:tc>
        <w:tc>
          <w:tcPr>
            <w:tcW w:type="dxa" w:w="260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Relleno o desmonte</w:t>
            </w:r>
          </w:p>
        </w:tc>
        <w:tc>
          <w:tcPr>
            <w:tcW w:type="dxa" w:w="260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...-CAM-0001</w:t>
            </w:r>
          </w:p>
        </w:tc>
        <w:tc>
          <w:tcPr>
            <w:tcW w:type="dxa" w:w="260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Descripción objetiva, geometría y evidencia</w:t>
            </w:r>
          </w:p>
        </w:tc>
      </w:tr>
      <w:tr>
        <w:tc>
          <w:tcPr>
            <w:tcW w:type="dxa" w:w="260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Medio</w:t>
            </w:r>
          </w:p>
        </w:tc>
        <w:tc>
          <w:tcPr>
            <w:tcW w:type="dxa" w:w="260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Foto o audio</w:t>
            </w:r>
          </w:p>
        </w:tc>
        <w:tc>
          <w:tcPr>
            <w:tcW w:type="dxa" w:w="260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...-F01</w:t>
            </w:r>
          </w:p>
        </w:tc>
        <w:tc>
          <w:tcPr>
            <w:tcW w:type="dxa" w:w="260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Original, metadatos y hash</w:t>
            </w:r>
          </w:p>
        </w:tc>
      </w:tr>
    </w:tbl>
    <w:p>
      <w:pPr>
        <w:pStyle w:val="Heading1"/>
      </w:pPr>
      <w:r>
        <w:t>3. Roles y responsabilidades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  <w:shd w:fill="245B45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Rol</w:t>
            </w:r>
          </w:p>
        </w:tc>
        <w:tc>
          <w:tcPr>
            <w:tcW w:type="dxa" w:w="34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  <w:shd w:fill="245B45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Responsabilidad principal</w:t>
            </w:r>
          </w:p>
        </w:tc>
        <w:tc>
          <w:tcPr>
            <w:tcW w:type="dxa" w:w="34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  <w:shd w:fill="245B45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No debe hacer</w:t>
            </w:r>
          </w:p>
        </w:tc>
      </w:tr>
      <w:tr>
        <w:tc>
          <w:tcPr>
            <w:tcW w:type="dxa" w:w="34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Observador</w:t>
            </w:r>
          </w:p>
        </w:tc>
        <w:tc>
          <w:tcPr>
            <w:tcW w:type="dxa" w:w="34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Registrar hechos, evidencia y contexto; señalar dudas.</w:t>
            </w:r>
          </w:p>
        </w:tc>
        <w:tc>
          <w:tcPr>
            <w:tcW w:type="dxa" w:w="34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Confirmar taxones sin base o borrar registros dudosos.</w:t>
            </w:r>
          </w:p>
        </w:tc>
      </w:tr>
      <w:tr>
        <w:tc>
          <w:tcPr>
            <w:tcW w:type="dxa" w:w="34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Registrador</w:t>
            </w:r>
          </w:p>
        </w:tc>
        <w:tc>
          <w:tcPr>
            <w:tcW w:type="dxa" w:w="34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Completar la aplicación o la ficha y controlar IDs.</w:t>
            </w:r>
          </w:p>
        </w:tc>
        <w:tc>
          <w:tcPr>
            <w:tcW w:type="dxa" w:w="34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Inventar datos faltantes.</w:t>
            </w:r>
          </w:p>
        </w:tc>
      </w:tr>
      <w:tr>
        <w:tc>
          <w:tcPr>
            <w:tcW w:type="dxa" w:w="34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Navegador</w:t>
            </w:r>
          </w:p>
        </w:tc>
        <w:tc>
          <w:tcPr>
            <w:tcW w:type="dxa" w:w="34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Controlar sector, GPS, recorrido y seguridad operativa.</w:t>
            </w:r>
          </w:p>
        </w:tc>
        <w:tc>
          <w:tcPr>
            <w:tcW w:type="dxa" w:w="34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Modificar coordenadas sin dejar motivo.</w:t>
            </w:r>
          </w:p>
        </w:tc>
      </w:tr>
      <w:tr>
        <w:tc>
          <w:tcPr>
            <w:tcW w:type="dxa" w:w="34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Coordinador</w:t>
            </w:r>
          </w:p>
        </w:tc>
        <w:tc>
          <w:tcPr>
            <w:tcW w:type="dxa" w:w="34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Abrir jornadas, asignar sectores, cerrar eventos y controlar pendientes.</w:t>
            </w:r>
          </w:p>
        </w:tc>
        <w:tc>
          <w:tcPr>
            <w:tcW w:type="dxa" w:w="34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Sellar si faltan archivos o no coinciden los conteos.</w:t>
            </w:r>
          </w:p>
        </w:tc>
      </w:tr>
      <w:tr>
        <w:tc>
          <w:tcPr>
            <w:tcW w:type="dxa" w:w="34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Curador</w:t>
            </w:r>
          </w:p>
        </w:tc>
        <w:tc>
          <w:tcPr>
            <w:tcW w:type="dxa" w:w="34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Detectar duplicados, inconsistencias y faltantes.</w:t>
            </w:r>
          </w:p>
        </w:tc>
        <w:tc>
          <w:tcPr>
            <w:tcW w:type="dxa" w:w="34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Sobrescribir originales o identificaciones previas.</w:t>
            </w:r>
          </w:p>
        </w:tc>
      </w:tr>
      <w:tr>
        <w:tc>
          <w:tcPr>
            <w:tcW w:type="dxa" w:w="34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Validador taxonómico</w:t>
            </w:r>
          </w:p>
        </w:tc>
        <w:tc>
          <w:tcPr>
            <w:tcW w:type="dxa" w:w="34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Agregar determinaciones, confianza, fecha y base diagnóstica.</w:t>
            </w:r>
          </w:p>
        </w:tc>
        <w:tc>
          <w:tcPr>
            <w:tcW w:type="dxa" w:w="34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Modificar silenciosamente la observación de campo.</w:t>
            </w:r>
          </w:p>
        </w:tc>
      </w:tr>
      <w:tr>
        <w:tc>
          <w:tcPr>
            <w:tcW w:type="dxa" w:w="34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Responsable de evidencia</w:t>
            </w:r>
          </w:p>
        </w:tc>
        <w:tc>
          <w:tcPr>
            <w:tcW w:type="dxa" w:w="34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Generar exportaciones, hashes, copias y manifiestos.</w:t>
            </w:r>
          </w:p>
        </w:tc>
        <w:tc>
          <w:tcPr>
            <w:tcW w:type="dxa" w:w="34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Usar una copia comprimida como original sin marcarlo.</w:t>
            </w:r>
          </w:p>
        </w:tc>
      </w:tr>
    </w:tbl>
    <w:p>
      <w:pPr>
        <w:pStyle w:val="Heading1"/>
      </w:pPr>
      <w:r>
        <w:t>4. Preparación de la jornada</w:t>
      </w:r>
    </w:p>
    <w:p>
      <w:pPr>
        <w:pStyle w:val="ListBullet"/>
        <w:spacing w:after="40"/>
      </w:pPr>
      <w:r>
        <w:t>Congelar y publicar el protocolo, código y versión que utilizará la jornada.</w:t>
      </w:r>
    </w:p>
    <w:p>
      <w:pPr>
        <w:pStyle w:val="ListBullet"/>
        <w:spacing w:after="40"/>
      </w:pPr>
      <w:r>
        <w:t>Delimitar sectores y cargar sus geometrías o mapas de referencia.</w:t>
      </w:r>
    </w:p>
    <w:p>
      <w:pPr>
        <w:pStyle w:val="ListBullet"/>
        <w:spacing w:after="40"/>
      </w:pPr>
      <w:r>
        <w:t>Crear usuarios, equipos y eventos previstos; imprimir fichas y etiquetas QR de contingencia.</w:t>
      </w:r>
    </w:p>
    <w:p>
      <w:pPr>
        <w:pStyle w:val="ListBullet"/>
        <w:spacing w:after="40"/>
      </w:pPr>
      <w:r>
        <w:t>Verificar fecha, hora, batería, cámara, almacenamiento y permisos de geolocalización de cada teléfono.</w:t>
      </w:r>
    </w:p>
    <w:p>
      <w:pPr>
        <w:pStyle w:val="ListBullet"/>
        <w:spacing w:after="40"/>
      </w:pPr>
      <w:r>
        <w:t>Abrir la aplicación con conexión antes de salir para cachear la jornada y los catálogos.</w:t>
      </w:r>
    </w:p>
    <w:p>
      <w:pPr>
        <w:pStyle w:val="ListBullet"/>
        <w:spacing w:after="40"/>
      </w:pPr>
      <w:r>
        <w:t>Hacer al menos tres registros de prueba, pasar a modo avión, cerrar el navegador, reabrir y sincronizar.</w:t>
      </w:r>
    </w:p>
    <w:p>
      <w:pPr>
        <w:pStyle w:val="ListBullet"/>
        <w:spacing w:after="40"/>
      </w:pPr>
      <w:r>
        <w:t>Asignar un responsable de recepción de fichas de papel y dispositivos con fallas.</w:t>
      </w:r>
    </w:p>
    <w:p>
      <w:pPr>
        <w:pStyle w:val="ListBullet"/>
        <w:spacing w:after="40"/>
      </w:pPr>
      <w:r>
        <w:t>Definir zonas sin acceso y pautas de seguridad; el relevamiento no habilita el ingreso a predios restringidos.</w:t>
      </w:r>
    </w:p>
    <w:p>
      <w:pPr>
        <w:pStyle w:val="Heading1"/>
      </w:pPr>
      <w:r>
        <w:t>5. Diseño de muestreo y esfuerzo</w:t>
      </w:r>
    </w:p>
    <w:p>
      <w:r>
        <w:t>Cada evento debe declarar un método. El método determina qué conclusiones son razonables y qué esfuerzo debe registrarse.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  <w:shd w:fill="245B45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Método</w:t>
            </w:r>
          </w:p>
        </w:tc>
        <w:tc>
          <w:tcPr>
            <w:tcW w:type="dxa" w:w="260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  <w:shd w:fill="245B45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Uso</w:t>
            </w:r>
          </w:p>
        </w:tc>
        <w:tc>
          <w:tcPr>
            <w:tcW w:type="dxa" w:w="260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  <w:shd w:fill="245B45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Esfuerzo mínimo</w:t>
            </w:r>
          </w:p>
        </w:tc>
        <w:tc>
          <w:tcPr>
            <w:tcW w:type="dxa" w:w="260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  <w:shd w:fill="245B45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Interpretación permitida</w:t>
            </w:r>
          </w:p>
        </w:tc>
      </w:tr>
      <w:tr>
        <w:tc>
          <w:tcPr>
            <w:tcW w:type="dxa" w:w="260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Recorrido libre</w:t>
            </w:r>
          </w:p>
        </w:tc>
        <w:tc>
          <w:tcPr>
            <w:tcW w:type="dxa" w:w="260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Inventario inicial y hallazgos oportunistas</w:t>
            </w:r>
          </w:p>
        </w:tc>
        <w:tc>
          <w:tcPr>
            <w:tcW w:type="dxa" w:w="260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minutos, observadores y distancia</w:t>
            </w:r>
          </w:p>
        </w:tc>
        <w:tc>
          <w:tcPr>
            <w:tcW w:type="dxa" w:w="260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Presencia documentada; no ausencia ni tendencia.</w:t>
            </w:r>
          </w:p>
        </w:tc>
      </w:tr>
      <w:tr>
        <w:tc>
          <w:tcPr>
            <w:tcW w:type="dxa" w:w="260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Transecta</w:t>
            </w:r>
          </w:p>
        </w:tc>
        <w:tc>
          <w:tcPr>
            <w:tcW w:type="dxa" w:w="260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Comparar un recorrido repetible</w:t>
            </w:r>
          </w:p>
        </w:tc>
        <w:tc>
          <w:tcPr>
            <w:tcW w:type="dxa" w:w="260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longitud, ancho, tiempo y observadores</w:t>
            </w:r>
          </w:p>
        </w:tc>
        <w:tc>
          <w:tcPr>
            <w:tcW w:type="dxa" w:w="260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Comparaciones si se repite protocolo y condiciones.</w:t>
            </w:r>
          </w:p>
        </w:tc>
      </w:tr>
      <w:tr>
        <w:tc>
          <w:tcPr>
            <w:tcW w:type="dxa" w:w="260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Punto fijo</w:t>
            </w:r>
          </w:p>
        </w:tc>
        <w:tc>
          <w:tcPr>
            <w:tcW w:type="dxa" w:w="260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Aves, anfibios, sonidos</w:t>
            </w:r>
          </w:p>
        </w:tc>
        <w:tc>
          <w:tcPr>
            <w:tcW w:type="dxa" w:w="260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radio y minutos por punto</w:t>
            </w:r>
          </w:p>
        </w:tc>
        <w:tc>
          <w:tcPr>
            <w:tcW w:type="dxa" w:w="260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Detección/no detección si el objetivo fue definido.</w:t>
            </w:r>
          </w:p>
        </w:tc>
      </w:tr>
      <w:tr>
        <w:tc>
          <w:tcPr>
            <w:tcW w:type="dxa" w:w="260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Parcela/cuadrante</w:t>
            </w:r>
          </w:p>
        </w:tc>
        <w:tc>
          <w:tcPr>
            <w:tcW w:type="dxa" w:w="260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Vegetación, cobertura, hongos</w:t>
            </w:r>
          </w:p>
        </w:tc>
        <w:tc>
          <w:tcPr>
            <w:tcW w:type="dxa" w:w="260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superficie, duración y observadores</w:t>
            </w:r>
          </w:p>
        </w:tc>
        <w:tc>
          <w:tcPr>
            <w:tcW w:type="dxa" w:w="260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Cobertura, riqueza y repetición temporal.</w:t>
            </w:r>
          </w:p>
        </w:tc>
      </w:tr>
      <w:tr>
        <w:tc>
          <w:tcPr>
            <w:tcW w:type="dxa" w:w="260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Bioblitz</w:t>
            </w:r>
          </w:p>
        </w:tc>
        <w:tc>
          <w:tcPr>
            <w:tcW w:type="dxa" w:w="260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Ampliar inventario en una jornada</w:t>
            </w:r>
          </w:p>
        </w:tc>
        <w:tc>
          <w:tcPr>
            <w:tcW w:type="dxa" w:w="260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duración total, equipos y sectores</w:t>
            </w:r>
          </w:p>
        </w:tc>
        <w:tc>
          <w:tcPr>
            <w:tcW w:type="dxa" w:w="260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Lista amplia de presencias; esfuerzo heterogéneo.</w:t>
            </w:r>
          </w:p>
        </w:tc>
      </w:tr>
    </w:tbl>
    <w:p>
      <w:r>
        <w:t>Regla: “no detectado” solo puede utilizarse cuando el evento definió previamente el taxón o grupo buscado, el método y el esfuerzo. La ausencia de una ficha no equivale a ausencia biológica.</w:t>
      </w:r>
    </w:p>
    <w:p>
      <w:pPr>
        <w:pStyle w:val="Heading1"/>
      </w:pPr>
      <w:r>
        <w:t>6. Flujo de trabajo en campo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  <w:shd w:fill="245B45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Paso</w:t>
            </w:r>
          </w:p>
        </w:tc>
        <w:tc>
          <w:tcPr>
            <w:tcW w:type="dxa" w:w="521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  <w:shd w:fill="245B45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Acción</w:t>
            </w:r>
          </w:p>
        </w:tc>
      </w:tr>
      <w:tr>
        <w:tc>
          <w:tcPr>
            <w:tcW w:type="dxa" w:w="521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1. Abrir evento</w:t>
            </w:r>
          </w:p>
        </w:tc>
        <w:tc>
          <w:tcPr>
            <w:tcW w:type="dxa" w:w="521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Seleccionar jornada, sector, equipo, método y participantes. Registrar inicio.</w:t>
            </w:r>
          </w:p>
        </w:tc>
      </w:tr>
      <w:tr>
        <w:tc>
          <w:tcPr>
            <w:tcW w:type="dxa" w:w="521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2. Capturar hallazgo</w:t>
            </w:r>
          </w:p>
        </w:tc>
        <w:tc>
          <w:tcPr>
            <w:tcW w:type="dxa" w:w="521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Crear ID local, fecha y hora automáticas. Elegir observación biológica o cambio territorial.</w:t>
            </w:r>
          </w:p>
        </w:tc>
      </w:tr>
      <w:tr>
        <w:tc>
          <w:tcPr>
            <w:tcW w:type="dxa" w:w="521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3. Capturar ubicación</w:t>
            </w:r>
          </w:p>
        </w:tc>
        <w:tc>
          <w:tcPr>
            <w:tcW w:type="dxa" w:w="521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Intentar GPS; registrar precisión. Si falla, guardar pendiente o marcar en mapa.</w:t>
            </w:r>
          </w:p>
        </w:tc>
      </w:tr>
      <w:tr>
        <w:tc>
          <w:tcPr>
            <w:tcW w:type="dxa" w:w="521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4. Capturar evidencia</w:t>
            </w:r>
          </w:p>
        </w:tc>
        <w:tc>
          <w:tcPr>
            <w:tcW w:type="dxa" w:w="521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Tomar foto/audio original. No editar ni enviar por mensajería antes de incorporarlo.</w:t>
            </w:r>
          </w:p>
        </w:tc>
      </w:tr>
      <w:tr>
        <w:tc>
          <w:tcPr>
            <w:tcW w:type="dxa" w:w="521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5. Completar datos</w:t>
            </w:r>
          </w:p>
        </w:tc>
        <w:tc>
          <w:tcPr>
            <w:tcW w:type="dxa" w:w="521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Registrar nombre de campo, grupo, cantidad, hábitat y campos condicionales.</w:t>
            </w:r>
          </w:p>
        </w:tc>
      </w:tr>
      <w:tr>
        <w:tc>
          <w:tcPr>
            <w:tcW w:type="dxa" w:w="521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6. Guardar local</w:t>
            </w:r>
          </w:p>
        </w:tc>
        <w:tc>
          <w:tcPr>
            <w:tcW w:type="dxa" w:w="521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Confirmar que el registro figura como local, pendiente o sincronizado.</w:t>
            </w:r>
          </w:p>
        </w:tc>
      </w:tr>
      <w:tr>
        <w:tc>
          <w:tcPr>
            <w:tcW w:type="dxa" w:w="521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7. Revisar antes de moverse</w:t>
            </w:r>
          </w:p>
        </w:tc>
        <w:tc>
          <w:tcPr>
            <w:tcW w:type="dxa" w:w="521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Verificar ID, fotografía, GPS o marca de pendiente.</w:t>
            </w:r>
          </w:p>
        </w:tc>
      </w:tr>
      <w:tr>
        <w:tc>
          <w:tcPr>
            <w:tcW w:type="dxa" w:w="521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8. Cerrar evento</w:t>
            </w:r>
          </w:p>
        </w:tc>
        <w:tc>
          <w:tcPr>
            <w:tcW w:type="dxa" w:w="521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Registrar fin, esfuerzo, limitaciones y pendientes; exportar respaldo local si hay fallas.</w:t>
            </w:r>
          </w:p>
        </w:tc>
      </w:tr>
    </w:tbl>
    <w:p>
      <w:pPr>
        <w:pStyle w:val="Heading1"/>
      </w:pPr>
      <w:r>
        <w:t>7. Datos mínimos y campos condicionales</w:t>
      </w:r>
    </w:p>
    <w:p>
      <w:r>
        <w:t>El sistema admite borradores incompletos, pero clasifica la calidad para que las faltas sean visibles y corregibles.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  <w:shd w:fill="245B45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Nivel</w:t>
            </w:r>
          </w:p>
        </w:tc>
        <w:tc>
          <w:tcPr>
            <w:tcW w:type="dxa" w:w="260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  <w:shd w:fill="245B45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Requisitos</w:t>
            </w:r>
          </w:p>
        </w:tc>
        <w:tc>
          <w:tcPr>
            <w:tcW w:type="dxa" w:w="260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  <w:shd w:fill="245B45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Uso</w:t>
            </w:r>
          </w:p>
        </w:tc>
        <w:tc>
          <w:tcPr>
            <w:tcW w:type="dxa" w:w="260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  <w:shd w:fill="245B45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Acción</w:t>
            </w:r>
          </w:p>
        </w:tc>
      </w:tr>
      <w:tr>
        <w:tc>
          <w:tcPr>
            <w:tcW w:type="dxa" w:w="260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Completo</w:t>
            </w:r>
          </w:p>
        </w:tc>
        <w:tc>
          <w:tcPr>
            <w:tcW w:type="dxa" w:w="260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Evento, fecha/hora, observador, grupo, ubicación con precisión, evidencia y contexto.</w:t>
            </w:r>
          </w:p>
        </w:tc>
        <w:tc>
          <w:tcPr>
            <w:tcW w:type="dxa" w:w="260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Análisis y revisión.</w:t>
            </w:r>
          </w:p>
        </w:tc>
        <w:tc>
          <w:tcPr>
            <w:tcW w:type="dxa" w:w="260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Sin acción crítica.</w:t>
            </w:r>
          </w:p>
        </w:tc>
      </w:tr>
      <w:tr>
        <w:tc>
          <w:tcPr>
            <w:tcW w:type="dxa" w:w="260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Utilizable</w:t>
            </w:r>
          </w:p>
        </w:tc>
        <w:tc>
          <w:tcPr>
            <w:tcW w:type="dxa" w:w="260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Tiene evento y evidencia o ubicación, pero falta algún campo recomendado.</w:t>
            </w:r>
          </w:p>
        </w:tc>
        <w:tc>
          <w:tcPr>
            <w:tcW w:type="dxa" w:w="260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Inventario preliminar.</w:t>
            </w:r>
          </w:p>
        </w:tc>
        <w:tc>
          <w:tcPr>
            <w:tcW w:type="dxa" w:w="260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Completar si es posible.</w:t>
            </w:r>
          </w:p>
        </w:tc>
      </w:tr>
      <w:tr>
        <w:tc>
          <w:tcPr>
            <w:tcW w:type="dxa" w:w="260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Incompleto</w:t>
            </w:r>
          </w:p>
        </w:tc>
        <w:tc>
          <w:tcPr>
            <w:tcW w:type="dxa" w:w="260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Falta ubicación y evidencia o no puede vincularse al evento.</w:t>
            </w:r>
          </w:p>
        </w:tc>
        <w:tc>
          <w:tcPr>
            <w:tcW w:type="dxa" w:w="260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Conservación interna.</w:t>
            </w:r>
          </w:p>
        </w:tc>
        <w:tc>
          <w:tcPr>
            <w:tcW w:type="dxa" w:w="260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Revisión prioritaria.</w:t>
            </w:r>
          </w:p>
        </w:tc>
      </w:tr>
      <w:tr>
        <w:tc>
          <w:tcPr>
            <w:tcW w:type="dxa" w:w="260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Requiere revisión</w:t>
            </w:r>
          </w:p>
        </w:tc>
        <w:tc>
          <w:tcPr>
            <w:tcW w:type="dxa" w:w="260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Conflicto, posible duplicado, fecha futura, punto externo o taxón inconsistente.</w:t>
            </w:r>
          </w:p>
        </w:tc>
        <w:tc>
          <w:tcPr>
            <w:tcW w:type="dxa" w:w="260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No publicar.</w:t>
            </w:r>
          </w:p>
        </w:tc>
        <w:tc>
          <w:tcPr>
            <w:tcW w:type="dxa" w:w="260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Resolver sin borrar versiones.</w:t>
            </w:r>
          </w:p>
        </w:tc>
      </w:tr>
    </w:tbl>
    <w:p>
      <w:r>
        <w:t>Campos de campo que se mantienen de la ficha original: nombre común o de campo, grupo, cantidad, actividad, hábitat, tipo de evidencia, fenología vegetal, etapa de artrópodos, planta asociada y caracteres visibles de hongos. Se trasladan a revisión posterior: estado UICN, origen validado, carácter invasor, tendencia, función ecológica inferida y otras clasificaciones que requieren fuente o series de datos.</w:t>
      </w:r>
    </w:p>
    <w:p>
      <w:pPr>
        <w:pStyle w:val="Heading1"/>
      </w:pPr>
      <w:r>
        <w:t>8. Fotografías, audios y archivos originales</w:t>
      </w:r>
    </w:p>
    <w:p>
      <w:pPr>
        <w:pStyle w:val="ListBullet"/>
        <w:spacing w:after="40"/>
      </w:pPr>
      <w:r>
        <w:t>Conservar el archivo original. La miniatura o versión comprimida es un derivado y debe tener otro ID.</w:t>
      </w:r>
    </w:p>
    <w:p>
      <w:pPr>
        <w:pStyle w:val="ListBullet"/>
        <w:spacing w:after="40"/>
      </w:pPr>
      <w:r>
        <w:t>Asignar a cada archivo media_id, occurrence_id o change_id, autor, fecha de captura y fecha de incorporación.</w:t>
      </w:r>
    </w:p>
    <w:p>
      <w:pPr>
        <w:pStyle w:val="ListBullet"/>
        <w:spacing w:after="40"/>
      </w:pPr>
      <w:r>
        <w:t>Calcular SHA-256 antes del sellado. Si el cálculo falla en campo, reintentar en segundo plano sin bloquear la captura.</w:t>
      </w:r>
    </w:p>
    <w:p>
      <w:pPr>
        <w:pStyle w:val="ListBullet"/>
        <w:spacing w:after="40"/>
      </w:pPr>
      <w:r>
        <w:t>Registrar si el archivo es original, copia de galería, descarga o imagen recibida por mensajería.</w:t>
      </w:r>
    </w:p>
    <w:p>
      <w:pPr>
        <w:pStyle w:val="ListBullet"/>
        <w:spacing w:after="40"/>
      </w:pPr>
      <w:r>
        <w:t>Para organismos: tomar ambiente general, organismo completo y caracteres diagnósticos. Para impactos: vista general, detalle y referencia de escala.</w:t>
      </w:r>
    </w:p>
    <w:p>
      <w:pPr>
        <w:pStyle w:val="ListBullet"/>
        <w:spacing w:after="40"/>
      </w:pPr>
      <w:r>
        <w:t>En hongos, priorizar sombrero, superficie inferior, pie/base, sustrato y ambiente. No ingerir ni calificar comestibilidad.</w:t>
      </w:r>
    </w:p>
    <w:p>
      <w:pPr>
        <w:pStyle w:val="ListBullet"/>
        <w:spacing w:after="40"/>
      </w:pPr>
      <w:r>
        <w:t>En nidos o especies sensibles, restringir coordenadas y evitar aproximaciones que aumenten el riesgo.</w:t>
      </w:r>
    </w:p>
    <w:p>
      <w:pPr>
        <w:pStyle w:val="Heading1"/>
      </w:pPr>
      <w:r>
        <w:t>9. Georreferenciación y precisión</w:t>
      </w:r>
    </w:p>
    <w:p>
      <w:r>
        <w:t>Se utiliza WGS84 / EPSG:4326. Toda coordenada debe acompañarse de su incertidumbre en metros y de la fuente de georreferenciación.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  <w:shd w:fill="245B45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Precisión</w:t>
            </w:r>
          </w:p>
        </w:tc>
        <w:tc>
          <w:tcPr>
            <w:tcW w:type="dxa" w:w="34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  <w:shd w:fill="245B45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Indicador</w:t>
            </w:r>
          </w:p>
        </w:tc>
        <w:tc>
          <w:tcPr>
            <w:tcW w:type="dxa" w:w="34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  <w:shd w:fill="245B45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Uso recomendado</w:t>
            </w:r>
          </w:p>
        </w:tc>
      </w:tr>
      <w:tr>
        <w:tc>
          <w:tcPr>
            <w:tcW w:type="dxa" w:w="34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≤15 m</w:t>
            </w:r>
          </w:p>
        </w:tc>
        <w:tc>
          <w:tcPr>
            <w:tcW w:type="dxa" w:w="34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Verde</w:t>
            </w:r>
          </w:p>
        </w:tc>
        <w:tc>
          <w:tcPr>
            <w:tcW w:type="dxa" w:w="34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Punto de observación; posible cruce parcelario con revisión.</w:t>
            </w:r>
          </w:p>
        </w:tc>
      </w:tr>
      <w:tr>
        <w:tc>
          <w:tcPr>
            <w:tcW w:type="dxa" w:w="34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&gt;15 y ≤50 m</w:t>
            </w:r>
          </w:p>
        </w:tc>
        <w:tc>
          <w:tcPr>
            <w:tcW w:type="dxa" w:w="34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Amarillo</w:t>
            </w:r>
          </w:p>
        </w:tc>
        <w:tc>
          <w:tcPr>
            <w:tcW w:type="dxa" w:w="34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Análisis por sector; revisar antes de afirmar pertenencia parcelaria.</w:t>
            </w:r>
          </w:p>
        </w:tc>
      </w:tr>
      <w:tr>
        <w:tc>
          <w:tcPr>
            <w:tcW w:type="dxa" w:w="34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&gt;50 m</w:t>
            </w:r>
          </w:p>
        </w:tc>
        <w:tc>
          <w:tcPr>
            <w:tcW w:type="dxa" w:w="34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Rojo</w:t>
            </w:r>
          </w:p>
        </w:tc>
        <w:tc>
          <w:tcPr>
            <w:tcW w:type="dxa" w:w="34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Contexto general; reintentar o ubicar manualmente.</w:t>
            </w:r>
          </w:p>
        </w:tc>
      </w:tr>
      <w:tr>
        <w:tc>
          <w:tcPr>
            <w:tcW w:type="dxa" w:w="34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Sin ubicación</w:t>
            </w:r>
          </w:p>
        </w:tc>
        <w:tc>
          <w:tcPr>
            <w:tcW w:type="dxa" w:w="34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Pendiente</w:t>
            </w:r>
          </w:p>
        </w:tc>
        <w:tc>
          <w:tcPr>
            <w:tcW w:type="dxa" w:w="34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No descartar; completar con track, foto, mapa o reconstrucción documentada.</w:t>
            </w:r>
          </w:p>
        </w:tc>
      </w:tr>
    </w:tbl>
    <w:p>
      <w:r>
        <w:t>Toda corrección manual posterior debe conservar la coordenada original, la nueva coordenada, el responsable, la fecha y el motivo.</w:t>
      </w:r>
    </w:p>
    <w:p>
      <w:pPr>
        <w:pStyle w:val="Heading1"/>
      </w:pPr>
      <w:r>
        <w:t>10. Identificación taxonómica y validación</w:t>
      </w:r>
    </w:p>
    <w:p>
      <w:pPr>
        <w:pStyle w:val="ListBullet"/>
        <w:spacing w:after="40"/>
      </w:pPr>
      <w:r>
        <w:t>El nombre escrito en campo es verbatimIdentification o nombre de campo; no se elimina.</w:t>
      </w:r>
    </w:p>
    <w:p>
      <w:pPr>
        <w:pStyle w:val="ListBullet"/>
        <w:spacing w:after="40"/>
      </w:pPr>
      <w:r>
        <w:t>Cada determinación posterior crea un registro de identificación con nombre, rango, validador, fecha, confianza y base diagnóstica.</w:t>
      </w:r>
    </w:p>
    <w:p>
      <w:pPr>
        <w:pStyle w:val="ListBullet"/>
        <w:spacing w:after="40"/>
      </w:pPr>
      <w:r>
        <w:t>Los estados mínimos son: sin identificar, tentativa, probable, confirmada y rechazada.</w:t>
      </w:r>
    </w:p>
    <w:p>
      <w:pPr>
        <w:pStyle w:val="ListBullet"/>
        <w:spacing w:after="40"/>
      </w:pPr>
      <w:r>
        <w:t>Una nueva identificación puede reemplazar la anterior para la vista vigente, pero debe enlazarla mediante supersedes y mantener el historial.</w:t>
      </w:r>
    </w:p>
    <w:p>
      <w:pPr>
        <w:pStyle w:val="ListBullet"/>
        <w:spacing w:after="40"/>
      </w:pPr>
      <w:r>
        <w:t>UICN, endemismo, origen, condición invasora o residencia migratoria se agregan después de validar el taxón y citar la fuente y el ámbito.</w:t>
      </w:r>
    </w:p>
    <w:p>
      <w:pPr>
        <w:pStyle w:val="ListBullet"/>
        <w:spacing w:after="40"/>
      </w:pPr>
      <w:r>
        <w:t>La función ecológica debe distinguir interacción observada de inferencia bibliográfica. Proximidad a un árbol no confirma micorriza; visita floral no confirma polinización.</w:t>
      </w:r>
    </w:p>
    <w:p>
      <w:pPr>
        <w:pStyle w:val="Heading1"/>
      </w:pPr>
      <w:r>
        <w:t>11. Transformaciones territoriales</w:t>
      </w:r>
    </w:p>
    <w:p>
      <w:r>
        <w:t>Se registran en una entidad separada. La descripción de campo debe ser objetiva y no atribuir autoría, ilegalidad o responsabilidad sin respaldo documental.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  <w:shd w:fill="245B45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Evitar</w:t>
            </w:r>
          </w:p>
        </w:tc>
        <w:tc>
          <w:tcPr>
            <w:tcW w:type="dxa" w:w="521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  <w:shd w:fill="245B45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Preferir</w:t>
            </w:r>
          </w:p>
        </w:tc>
      </w:tr>
      <w:tr>
        <w:tc>
          <w:tcPr>
            <w:tcW w:type="dxa" w:w="521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“El municipio destruyó ilegalmente el humedal.”</w:t>
            </w:r>
          </w:p>
        </w:tc>
        <w:tc>
          <w:tcPr>
            <w:tcW w:type="dxa" w:w="521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“Se observa relleno reciente, suelo desnudo y huellas de maquinaria en un área estimada de 300 m².”</w:t>
            </w:r>
          </w:p>
        </w:tc>
      </w:tr>
      <w:tr>
        <w:tc>
          <w:tcPr>
            <w:tcW w:type="dxa" w:w="521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“Privatización del parque.”</w:t>
            </w:r>
          </w:p>
        </w:tc>
        <w:tc>
          <w:tcPr>
            <w:tcW w:type="dxa" w:w="521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“Se observa nuevo cercamiento con postes y alambre; inicio y fin georreferenciados.”</w:t>
            </w:r>
          </w:p>
        </w:tc>
      </w:tr>
      <w:tr>
        <w:tc>
          <w:tcPr>
            <w:tcW w:type="dxa" w:w="521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“Contaminación tóxica.”</w:t>
            </w:r>
          </w:p>
        </w:tc>
        <w:tc>
          <w:tcPr>
            <w:tcW w:type="dxa" w:w="521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“Se observa descarga de líquido oscuro con olor intenso; se registran punto, hora, fotos y dirección de flujo.”</w:t>
            </w:r>
          </w:p>
        </w:tc>
      </w:tr>
    </w:tbl>
    <w:p>
      <w:r>
        <w:t>Los registros pueden relacionarse posteriormente con parcelas, zonificación, expedientes, permisos, estudios ambientales y respuestas oficiales. La aplicación debe mostrar alertas de verificación, no declarar ilegalidad automáticamente.</w:t>
      </w:r>
    </w:p>
    <w:p>
      <w:pPr>
        <w:pStyle w:val="Heading1"/>
      </w:pPr>
      <w:r>
        <w:t>12. Trabajo offline, sincronización y conflictos</w:t>
      </w:r>
    </w:p>
    <w:p>
      <w:pPr>
        <w:pStyle w:val="ListBullet"/>
        <w:spacing w:after="40"/>
      </w:pPr>
      <w:r>
        <w:t>Cada registro se crea con ID local único y se guarda en IndexedDB antes de intentar red.</w:t>
      </w:r>
    </w:p>
    <w:p>
      <w:pPr>
        <w:pStyle w:val="ListBullet"/>
        <w:spacing w:after="40"/>
      </w:pPr>
      <w:r>
        <w:t>Estados mínimos: local_only, pending, syncing, synced, conflict y failed.</w:t>
      </w:r>
    </w:p>
    <w:p>
      <w:pPr>
        <w:pStyle w:val="ListBullet"/>
        <w:spacing w:after="40"/>
      </w:pPr>
      <w:r>
        <w:t>La sincronización debe ser idempotente: repetir una operación con el mismo ID no crea duplicados.</w:t>
      </w:r>
    </w:p>
    <w:p>
      <w:pPr>
        <w:pStyle w:val="ListBullet"/>
        <w:spacing w:after="40"/>
      </w:pPr>
      <w:r>
        <w:t>Si falla una foto, la observación se conserva y el archivo queda pendiente. Si falla el backend, se mantiene todo localmente.</w:t>
      </w:r>
    </w:p>
    <w:p>
      <w:pPr>
        <w:pStyle w:val="ListBullet"/>
        <w:spacing w:after="40"/>
      </w:pPr>
      <w:r>
        <w:t>El respaldo de emergencia debe exportar JSON/ZIP con eventos, observaciones, cambios, metadatos y archivos locales.</w:t>
      </w:r>
    </w:p>
    <w:p>
      <w:pPr>
        <w:pStyle w:val="ListBullet"/>
        <w:spacing w:after="40"/>
      </w:pPr>
      <w:r>
        <w:t>Un conflicto nunca se resuelve sobrescribiendo silenciosamente; se conservan ambas versiones o se remite a revisión.</w:t>
      </w:r>
    </w:p>
    <w:p>
      <w:pPr>
        <w:pStyle w:val="Heading1"/>
      </w:pPr>
      <w:r>
        <w:t>13. Control de calidad, cierre y manifiesto</w:t>
      </w:r>
    </w:p>
    <w:p>
      <w:r>
        <w:t>Antes de sellar una jornada, el coordinador y el responsable de evidencia ejecutan el siguiente cierre:</w:t>
      </w:r>
    </w:p>
    <w:p>
      <w:pPr>
        <w:pStyle w:val="ListBullet"/>
        <w:spacing w:after="40"/>
      </w:pPr>
      <w:r>
        <w:t>Cerrar eventos abiertos y registrar esfuerzo y limitaciones.</w:t>
      </w:r>
    </w:p>
    <w:p>
      <w:pPr>
        <w:pStyle w:val="ListBullet"/>
        <w:spacing w:after="40"/>
      </w:pPr>
      <w:r>
        <w:t>Sincronizar dispositivos y recoger fichas de papel; documentar equipos no sincronizados.</w:t>
      </w:r>
    </w:p>
    <w:p>
      <w:pPr>
        <w:pStyle w:val="ListBullet"/>
        <w:spacing w:after="40"/>
      </w:pPr>
      <w:r>
        <w:t>Revisar IDs duplicados, registros sin evento, fechas imposibles y coordenadas anómalas.</w:t>
      </w:r>
    </w:p>
    <w:p>
      <w:pPr>
        <w:pStyle w:val="ListBullet"/>
        <w:spacing w:after="40"/>
      </w:pPr>
      <w:r>
        <w:t>Verificar que cada medio figure como original o copia y que los archivos estén presentes.</w:t>
      </w:r>
    </w:p>
    <w:p>
      <w:pPr>
        <w:pStyle w:val="ListBullet"/>
        <w:spacing w:after="40"/>
      </w:pPr>
      <w:r>
        <w:t>Calcular hashes, exportar CSV/GeoJSON/JSON y generar el ZIP de originales.</w:t>
      </w:r>
    </w:p>
    <w:p>
      <w:pPr>
        <w:pStyle w:val="ListBullet"/>
        <w:spacing w:after="40"/>
      </w:pPr>
      <w:r>
        <w:t>Generar manifest.json y hashes.csv con conteos, nombres, tamaños y SHA-256.</w:t>
      </w:r>
    </w:p>
    <w:p>
      <w:pPr>
        <w:pStyle w:val="ListBullet"/>
        <w:spacing w:after="40"/>
      </w:pPr>
      <w:r>
        <w:t>Calcular el hash del manifiesto y registrar fecha, responsable y versión de aplicación.</w:t>
      </w:r>
    </w:p>
    <w:p>
      <w:pPr>
        <w:pStyle w:val="ListBullet"/>
        <w:spacing w:after="40"/>
      </w:pPr>
      <w:r>
        <w:t>Crear al menos dos copias en ubicaciones distintas. Una copia se mantiene sin modificaciones.</w:t>
      </w:r>
    </w:p>
    <w:p>
      <w:r>
        <w:t>Después del estado sealed no se edita el registro original. Una corrección genera una nueva versión y exige motivo.</w:t>
      </w:r>
    </w:p>
    <w:p>
      <w:pPr>
        <w:pStyle w:val="Heading1"/>
      </w:pPr>
      <w:r>
        <w:t>14. Privacidad y coordenadas sensibles</w:t>
      </w:r>
    </w:p>
    <w:p>
      <w:pPr>
        <w:pStyle w:val="ListBullet"/>
        <w:spacing w:after="40"/>
      </w:pPr>
      <w:r>
        <w:t>El observador se identifica internamente mediante cuenta o código; la publicación de su nombre es opcional.</w:t>
      </w:r>
    </w:p>
    <w:p>
      <w:pPr>
        <w:pStyle w:val="ListBullet"/>
        <w:spacing w:after="40"/>
      </w:pPr>
      <w:r>
        <w:t>Los datos personales se recaban para organización, atribución, control y contacto; deben informarse finalidad, responsable y condiciones de acceso.</w:t>
      </w:r>
    </w:p>
    <w:p>
      <w:pPr>
        <w:pStyle w:val="ListBullet"/>
        <w:spacing w:after="40"/>
      </w:pPr>
      <w:r>
        <w:t>Las coordenadas exactas de nidos, especies amenazadas, sitios de recolección o accesos privados se mantienen restringidas.</w:t>
      </w:r>
    </w:p>
    <w:p>
      <w:pPr>
        <w:pStyle w:val="ListBullet"/>
        <w:spacing w:after="40"/>
      </w:pPr>
      <w:r>
        <w:t>La versión pública puede usar cuadrícula, punto desplazado o precisión generalizada; el original queda preservado.</w:t>
      </w:r>
    </w:p>
    <w:p>
      <w:pPr>
        <w:pStyle w:val="ListBullet"/>
        <w:spacing w:after="40"/>
      </w:pPr>
      <w:r>
        <w:t>La base debe impedir accesos no autorizados, pérdida o adulteración y mantener copias de seguridad.</w:t>
      </w:r>
    </w:p>
    <w:p>
      <w:pPr>
        <w:pStyle w:val="Heading1"/>
      </w:pPr>
      <w:r>
        <w:t>15. Exportación e interoperabilidad</w:t>
      </w:r>
    </w:p>
    <w:p>
      <w:r>
        <w:t>El MVP debe exportar, aun con identificaciones pendientes: eventos.csv, occurrences.csv, identifications.csv, territorial_changes.csv, GeoJSON, archivos originales, hashes.csv y manifest.json.</w:t>
      </w:r>
    </w:p>
    <w:p>
      <w:r>
        <w:t>La arquitectura debe mapear los campos principales a Darwin Core, en especial eventID, occurrenceID, eventDate, samplingProtocol, samplingEffort, recordedBy, basisOfRecord, occurrenceStatus, decimalLatitude, decimalLongitude, geodeticDatum, coordinateUncertaintyInMeters, scientificName, identifiedBy y dateIdentified. Los campos específicos pueden exportarse como MeasurementOrFact, multimedia o propiedades dinámicas documentadas.</w:t>
      </w:r>
    </w:p>
    <w:p>
      <w:pPr>
        <w:pStyle w:val="Heading1"/>
      </w:pPr>
      <w:r>
        <w:t>16. Uso administrativo y probatorio</w:t>
      </w:r>
    </w:p>
    <w:p>
      <w:r>
        <w:t>Los registros digitales, fotografías, audios y fichas pueden integrar un conjunto documental. Su fuerza aumenta cuando existe congruencia entre lo narrado, el soporte, el procedimiento técnico y las demás constancias.</w:t>
      </w:r>
    </w:p>
    <w:p>
      <w:pPr>
        <w:pStyle w:val="ListBullet"/>
        <w:spacing w:after="40"/>
      </w:pPr>
      <w:r>
        <w:t>Para una presentación administrativa: adjuntar protocolo, mapa, esfuerzo, resultados, limitaciones, fotografías, exportación y manifiesto.</w:t>
      </w:r>
    </w:p>
    <w:p>
      <w:pPr>
        <w:pStyle w:val="ListBullet"/>
        <w:spacing w:after="40"/>
      </w:pPr>
      <w:r>
        <w:t>Para vincular una parcela o intervención: conservar coordenadas reales, precisión, fuente cartográfica y operación espacial utilizada.</w:t>
      </w:r>
    </w:p>
    <w:p>
      <w:pPr>
        <w:pStyle w:val="ListBullet"/>
        <w:spacing w:after="40"/>
      </w:pPr>
      <w:r>
        <w:t>Para observaciones ambientales: formular pedidos concretos, como incorporación al expediente, inspección, acceso a estudios o consideración en la evaluación.</w:t>
      </w:r>
    </w:p>
    <w:p>
      <w:pPr>
        <w:pStyle w:val="ListBullet"/>
        <w:spacing w:after="40"/>
      </w:pPr>
      <w:r>
        <w:t>La firma digital válida del manifiesto o informe puede aportar presunciones de autoría e integridad; un hash interno sin firma no reemplaza esa firma, pero permite verificar archivos.</w:t>
      </w:r>
    </w:p>
    <w:p>
      <w:pPr>
        <w:pStyle w:val="ListBullet"/>
        <w:spacing w:after="40"/>
      </w:pPr>
      <w:r>
        <w:t>La evidencia comunitaria no debe presentarse como pericia profesional si no fue producida con ese carácter. Debe explicar método, alcance y limitaciones.</w:t>
      </w:r>
    </w:p>
    <w:p>
      <w:pPr>
        <w:pStyle w:val="Heading1"/>
      </w:pPr>
      <w:r>
        <w:t>17. Límites de interpretación</w:t>
      </w:r>
    </w:p>
    <w:p>
      <w:pPr>
        <w:pStyle w:val="ListBullet"/>
        <w:spacing w:after="40"/>
      </w:pPr>
      <w:r>
        <w:t>Un registro confirma una presencia documentada en condiciones y precisión determinadas; no prueba por sí solo abundancia regional.</w:t>
      </w:r>
    </w:p>
    <w:p>
      <w:pPr>
        <w:pStyle w:val="ListBullet"/>
        <w:spacing w:after="40"/>
      </w:pPr>
      <w:r>
        <w:t>La falta de registros no demuestra ausencia, salvo diseño de detección/no detección con esfuerzo suficiente.</w:t>
      </w:r>
    </w:p>
    <w:p>
      <w:pPr>
        <w:pStyle w:val="ListBullet"/>
        <w:spacing w:after="40"/>
      </w:pPr>
      <w:r>
        <w:t>Una jornada única no demuestra tendencia estable, aumento o retroceso.</w:t>
      </w:r>
    </w:p>
    <w:p>
      <w:pPr>
        <w:pStyle w:val="ListBullet"/>
        <w:spacing w:after="40"/>
      </w:pPr>
      <w:r>
        <w:t>Una fotografía puede no permitir identificación a especie; la plataforma debe admitir rangos superiores.</w:t>
      </w:r>
    </w:p>
    <w:p>
      <w:pPr>
        <w:pStyle w:val="ListBullet"/>
        <w:spacing w:after="40"/>
      </w:pPr>
      <w:r>
        <w:t>La proximidad espacial no prueba causalidad entre una intervención y un cambio biológico.</w:t>
      </w:r>
    </w:p>
    <w:p>
      <w:pPr>
        <w:pStyle w:val="ListBullet"/>
        <w:spacing w:after="40"/>
      </w:pPr>
      <w:r>
        <w:t>El estado legal de una obra o parcela debe verificarse con documentación oficial y normativa aplicable.</w:t>
      </w:r>
    </w:p>
    <w:p>
      <w:pPr>
        <w:pStyle w:val="Heading1"/>
      </w:pPr>
      <w:r>
        <w:t>Anexo A. Acta de evento/recorrido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3572"/>
        <w:gridCol w:w="1928"/>
        <w:gridCol w:w="3572"/>
      </w:tblGrid>
      <w:tr>
        <w:tc>
          <w:tcPr>
            <w:tcW w:type="dxa" w:w="2606"/>
            <w:shd w:fill="E7F0E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Jornada/ID</w:t>
            </w:r>
          </w:p>
        </w:tc>
        <w:tc>
          <w:tcPr>
            <w:tcW w:type="dxa" w:w="260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________________________</w:t>
            </w:r>
          </w:p>
        </w:tc>
        <w:tc>
          <w:tcPr>
            <w:tcW w:type="dxa" w:w="2606"/>
            <w:shd w:fill="E7F0E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Evento/ID</w:t>
            </w:r>
          </w:p>
        </w:tc>
        <w:tc>
          <w:tcPr>
            <w:tcW w:type="dxa" w:w="260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________________________</w:t>
            </w:r>
          </w:p>
        </w:tc>
      </w:tr>
      <w:tr>
        <w:tc>
          <w:tcPr>
            <w:tcW w:type="dxa" w:w="2606"/>
            <w:shd w:fill="E7F0E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Fecha</w:t>
            </w:r>
          </w:p>
        </w:tc>
        <w:tc>
          <w:tcPr>
            <w:tcW w:type="dxa" w:w="260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____/____/2026</w:t>
            </w:r>
          </w:p>
        </w:tc>
        <w:tc>
          <w:tcPr>
            <w:tcW w:type="dxa" w:w="2606"/>
            <w:shd w:fill="E7F0E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Equipo</w:t>
            </w:r>
          </w:p>
        </w:tc>
        <w:tc>
          <w:tcPr>
            <w:tcW w:type="dxa" w:w="260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________________________</w:t>
            </w:r>
          </w:p>
        </w:tc>
      </w:tr>
      <w:tr>
        <w:tc>
          <w:tcPr>
            <w:tcW w:type="dxa" w:w="2606"/>
            <w:shd w:fill="E7F0E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Sector/sitio</w:t>
            </w:r>
          </w:p>
        </w:tc>
        <w:tc>
          <w:tcPr>
            <w:tcW w:type="dxa" w:w="260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________________________</w:t>
            </w:r>
          </w:p>
        </w:tc>
        <w:tc>
          <w:tcPr>
            <w:tcW w:type="dxa" w:w="2606"/>
            <w:shd w:fill="E7F0E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Método</w:t>
            </w:r>
          </w:p>
        </w:tc>
        <w:tc>
          <w:tcPr>
            <w:tcW w:type="dxa" w:w="260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________________________</w:t>
            </w:r>
          </w:p>
        </w:tc>
      </w:tr>
      <w:tr>
        <w:tc>
          <w:tcPr>
            <w:tcW w:type="dxa" w:w="2606"/>
            <w:shd w:fill="E7F0E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Inicio</w:t>
            </w:r>
          </w:p>
        </w:tc>
        <w:tc>
          <w:tcPr>
            <w:tcW w:type="dxa" w:w="260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____:____</w:t>
            </w:r>
          </w:p>
        </w:tc>
        <w:tc>
          <w:tcPr>
            <w:tcW w:type="dxa" w:w="2606"/>
            <w:shd w:fill="E7F0E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Fin</w:t>
            </w:r>
          </w:p>
        </w:tc>
        <w:tc>
          <w:tcPr>
            <w:tcW w:type="dxa" w:w="260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____:____</w:t>
            </w:r>
          </w:p>
        </w:tc>
      </w:tr>
      <w:tr>
        <w:tc>
          <w:tcPr>
            <w:tcW w:type="dxa" w:w="2606"/>
            <w:shd w:fill="E7F0E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Participantes</w:t>
            </w:r>
          </w:p>
        </w:tc>
        <w:tc>
          <w:tcPr>
            <w:tcW w:type="dxa" w:w="260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________________________</w:t>
            </w:r>
          </w:p>
        </w:tc>
        <w:tc>
          <w:tcPr>
            <w:tcW w:type="dxa" w:w="2606"/>
            <w:shd w:fill="E7F0E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Cantidad</w:t>
            </w:r>
          </w:p>
        </w:tc>
        <w:tc>
          <w:tcPr>
            <w:tcW w:type="dxa" w:w="260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________</w:t>
            </w:r>
          </w:p>
        </w:tc>
      </w:tr>
      <w:tr>
        <w:tc>
          <w:tcPr>
            <w:tcW w:type="dxa" w:w="2606"/>
            <w:shd w:fill="E7F0E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Esfuerzo</w:t>
            </w:r>
          </w:p>
        </w:tc>
        <w:tc>
          <w:tcPr>
            <w:tcW w:type="dxa" w:w="260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________</w:t>
            </w:r>
          </w:p>
        </w:tc>
        <w:tc>
          <w:tcPr>
            <w:tcW w:type="dxa" w:w="2606"/>
            <w:shd w:fill="E7F0E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Unidad</w:t>
            </w:r>
          </w:p>
        </w:tc>
        <w:tc>
          <w:tcPr>
            <w:tcW w:type="dxa" w:w="260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________________________</w:t>
            </w:r>
          </w:p>
        </w:tc>
      </w:tr>
      <w:tr>
        <w:tc>
          <w:tcPr>
            <w:tcW w:type="dxa" w:w="2606"/>
            <w:shd w:fill="E7F0E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Distancia/área</w:t>
            </w:r>
          </w:p>
        </w:tc>
        <w:tc>
          <w:tcPr>
            <w:tcW w:type="dxa" w:w="260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________________________</w:t>
            </w:r>
          </w:p>
        </w:tc>
        <w:tc>
          <w:tcPr>
            <w:tcW w:type="dxa" w:w="2606"/>
            <w:shd w:fill="E7F0E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Clima</w:t>
            </w:r>
          </w:p>
        </w:tc>
        <w:tc>
          <w:tcPr>
            <w:tcW w:type="dxa" w:w="260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________________________</w:t>
            </w:r>
          </w:p>
        </w:tc>
      </w:tr>
      <w:tr>
        <w:tc>
          <w:tcPr>
            <w:tcW w:type="dxa" w:w="2606"/>
            <w:shd w:fill="E7F0E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Observaciones</w:t>
            </w:r>
          </w:p>
        </w:tc>
        <w:tc>
          <w:tcPr>
            <w:tcW w:type="dxa" w:w="260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________</w:t>
            </w:r>
          </w:p>
        </w:tc>
        <w:tc>
          <w:tcPr>
            <w:tcW w:type="dxa" w:w="2606"/>
            <w:shd w:fill="E7F0E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Cambios territoriales</w:t>
            </w:r>
          </w:p>
        </w:tc>
        <w:tc>
          <w:tcPr>
            <w:tcW w:type="dxa" w:w="260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________</w:t>
            </w:r>
          </w:p>
        </w:tc>
      </w:tr>
      <w:tr>
        <w:tc>
          <w:tcPr>
            <w:tcW w:type="dxa" w:w="2606"/>
            <w:shd w:fill="E7F0E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Pendientes</w:t>
            </w:r>
          </w:p>
        </w:tc>
        <w:tc>
          <w:tcPr>
            <w:tcW w:type="dxa" w:w="260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____________________________________________________________</w:t>
            </w:r>
          </w:p>
        </w:tc>
        <w:tc>
          <w:tcPr>
            <w:tcW w:type="dxa" w:w="2606"/>
            <w:shd w:fill="E7F0E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</w:r>
          </w:p>
        </w:tc>
        <w:tc>
          <w:tcPr>
            <w:tcW w:type="dxa" w:w="260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</w:r>
          </w:p>
        </w:tc>
      </w:tr>
      <w:tr>
        <w:tc>
          <w:tcPr>
            <w:tcW w:type="dxa" w:w="2606"/>
            <w:shd w:fill="E7F0E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Limitaciones</w:t>
            </w:r>
          </w:p>
        </w:tc>
        <w:tc>
          <w:tcPr>
            <w:tcW w:type="dxa" w:w="260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____________________________________________________________</w:t>
            </w:r>
          </w:p>
        </w:tc>
        <w:tc>
          <w:tcPr>
            <w:tcW w:type="dxa" w:w="2606"/>
            <w:shd w:fill="E7F0E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</w:r>
          </w:p>
        </w:tc>
        <w:tc>
          <w:tcPr>
            <w:tcW w:type="dxa" w:w="260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</w:r>
          </w:p>
        </w:tc>
      </w:tr>
    </w:tbl>
    <w:p>
      <w:pPr>
        <w:pStyle w:val="Heading1"/>
      </w:pPr>
      <w:r>
        <w:t>Anexo B. Checklist de cierre de jornada</w:t>
      </w:r>
    </w:p>
    <w:p>
      <w:r>
        <w:t>☐ Todos los eventos tienen inicio, fin, sector, método y esfuerzo.</w:t>
      </w:r>
    </w:p>
    <w:p>
      <w:r>
        <w:t>☐ Cada registro tiene ID único y evento asociado.</w:t>
      </w:r>
    </w:p>
    <w:p>
      <w:r>
        <w:t>☐ Las fichas en papel fueron recibidas, fotografiadas o digitalizadas y vinculadas.</w:t>
      </w:r>
    </w:p>
    <w:p>
      <w:r>
        <w:t>☐ Los registros sin GPS, evidencia o identificación están listados como pendientes.</w:t>
      </w:r>
    </w:p>
    <w:p>
      <w:r>
        <w:t>☐ Los archivos originales se encuentran presentes y diferenciados de copias.</w:t>
      </w:r>
    </w:p>
    <w:p>
      <w:r>
        <w:t>☐ Se calcularon hashes y coinciden con hashes.csv.</w:t>
      </w:r>
    </w:p>
    <w:p>
      <w:r>
        <w:t>☐ Los conteos del manifiesto coinciden con las exportaciones.</w:t>
      </w:r>
    </w:p>
    <w:p>
      <w:r>
        <w:t>☐ Se generaron dos copias y se documentó su ubicación.</w:t>
      </w:r>
    </w:p>
    <w:p>
      <w:r>
        <w:t>☐ El evento fue sellado por persona autorizada.</w:t>
      </w:r>
    </w:p>
    <w:p>
      <w:r>
        <w:t>☐ Las correcciones posteriores utilizarán versionado y motivo.</w:t>
      </w:r>
    </w:p>
    <w:p>
      <w:pPr>
        <w:pStyle w:val="Heading1"/>
      </w:pPr>
      <w:r>
        <w:t>Anexo C. Texto breve de información y consentimiento</w:t>
      </w:r>
    </w:p>
    <w:p>
      <w:pPr>
        <w:ind w:left="283" w:right="283"/>
      </w:pPr>
      <w:r>
        <w:t>Los datos de identificación y contacto se utilizarán para organizar el relevamiento, atribuir y revisar registros, resolver inconsistencias y comunicar resultados del proyecto. Las observaciones podrán integrarse a informes y conjuntos de datos; el nombre del participante y las coordenadas sensibles no se publicarán automáticamente. La persona participante puede solicitar acceso, rectificación o actualización de sus datos. Responsable del registro: ____________________. Contacto: ____________________.</w:t>
      </w:r>
    </w:p>
    <w:p>
      <w:pPr>
        <w:pStyle w:val="Heading1"/>
      </w:pPr>
      <w:r>
        <w:t>Anexo D. Fuentes técnicas y normativas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  <w:shd w:fill="245B45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Fuente</w:t>
            </w:r>
          </w:p>
        </w:tc>
        <w:tc>
          <w:tcPr>
            <w:tcW w:type="dxa" w:w="521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  <w:shd w:fill="245B45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Referencia</w:t>
            </w:r>
          </w:p>
        </w:tc>
      </w:tr>
      <w:tr>
        <w:tc>
          <w:tcPr>
            <w:tcW w:type="dxa" w:w="521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Ficha base del movimiento por el biocorredor</w:t>
            </w:r>
          </w:p>
        </w:tc>
        <w:tc>
          <w:tcPr>
            <w:tcW w:type="dxa" w:w="521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ficha relevamiento.pdf, agosto de 2026.</w:t>
            </w:r>
          </w:p>
        </w:tc>
      </w:tr>
      <w:tr>
        <w:tc>
          <w:tcPr>
            <w:tcW w:type="dxa" w:w="521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Darwin Core</w:t>
            </w:r>
          </w:p>
        </w:tc>
        <w:tc>
          <w:tcPr>
            <w:tcW w:type="dxa" w:w="521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https://dwc.tdwg.org/terms/</w:t>
            </w:r>
          </w:p>
        </w:tc>
      </w:tr>
      <w:tr>
        <w:tc>
          <w:tcPr>
            <w:tcW w:type="dxa" w:w="521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GBIF - Sampling-event datasets</w:t>
            </w:r>
          </w:p>
        </w:tc>
        <w:tc>
          <w:tcPr>
            <w:tcW w:type="dxa" w:w="521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https://www.gbif.org/data-quality-requirements-sampling-events</w:t>
            </w:r>
          </w:p>
        </w:tc>
      </w:tr>
      <w:tr>
        <w:tc>
          <w:tcPr>
            <w:tcW w:type="dxa" w:w="521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GBIF IPT - Data Quality Checklist</w:t>
            </w:r>
          </w:p>
        </w:tc>
        <w:tc>
          <w:tcPr>
            <w:tcW w:type="dxa" w:w="521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https://ipt.gbif.org/manual/en/ipt/latest/data-quality-checklist</w:t>
            </w:r>
          </w:p>
        </w:tc>
      </w:tr>
      <w:tr>
        <w:tc>
          <w:tcPr>
            <w:tcW w:type="dxa" w:w="521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Código Civil y Comercial de la Nación, arts. 287 y 319</w:t>
            </w:r>
          </w:p>
        </w:tc>
        <w:tc>
          <w:tcPr>
            <w:tcW w:type="dxa" w:w="521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https://www.argentina.gob.ar/normativa/nacional/ley-26994-235975/actualizacion</w:t>
            </w:r>
          </w:p>
        </w:tc>
      </w:tr>
      <w:tr>
        <w:tc>
          <w:tcPr>
            <w:tcW w:type="dxa" w:w="521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Ley 25.506 de Firma Digital</w:t>
            </w:r>
          </w:p>
        </w:tc>
        <w:tc>
          <w:tcPr>
            <w:tcW w:type="dxa" w:w="521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https://www.argentina.gob.ar/normativa/nacional/70749/actualizacion</w:t>
            </w:r>
          </w:p>
        </w:tc>
      </w:tr>
      <w:tr>
        <w:tc>
          <w:tcPr>
            <w:tcW w:type="dxa" w:w="521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Ley 25.326 de Protección de Datos Personales</w:t>
            </w:r>
          </w:p>
        </w:tc>
        <w:tc>
          <w:tcPr>
            <w:tcW w:type="dxa" w:w="521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https://www.argentina.gob.ar/normativa/nacional/ley-25326-64790/actualizacion</w:t>
            </w:r>
          </w:p>
        </w:tc>
      </w:tr>
      <w:tr>
        <w:tc>
          <w:tcPr>
            <w:tcW w:type="dxa" w:w="521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Ley 11.723 de la Provincia de Buenos Aires</w:t>
            </w:r>
          </w:p>
        </w:tc>
        <w:tc>
          <w:tcPr>
            <w:tcW w:type="dxa" w:w="521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https://normas.gba.gob.ar/documentos/V9ONqUPx.html</w:t>
            </w:r>
          </w:p>
        </w:tc>
      </w:tr>
      <w:tr>
        <w:tc>
          <w:tcPr>
            <w:tcW w:type="dxa" w:w="521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Sistema Nacional de Datos Biológicos</w:t>
            </w:r>
          </w:p>
        </w:tc>
        <w:tc>
          <w:tcPr>
            <w:tcW w:type="dxa" w:w="521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https://www.argentina.gob.ar/sites/default/files/bases_fortalecimiento_de_bases_de_datos_sndb_1.pdf</w:t>
            </w:r>
          </w:p>
        </w:tc>
      </w:tr>
    </w:tbl>
    <w:sectPr>
      <w:footerReference w:type="default" r:id="rId9"/>
      <w:pgSz w:w="12240" w:h="15840"/>
      <w:pgMar w:top="907" w:right="907" w:bottom="907" w:left="907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5A5A5A"/>
        <w:sz w:val="16"/>
      </w:rPr>
      <w:t xml:space="preserve">Biocorredor MR - Protocolo científico y probatorio v1.0 | Página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 w:eastAsia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8392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245B4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245B4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18392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Liberation Sans" w:hAnsi="Liberation Sans"/>
      <w:color w:val="50505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