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1F4E78"/>
          <w:sz w:val="40"/>
        </w:rPr>
        <w:t>工创小车 PCB 设计交接说明（给 Codex / EasyEDA）</w:t>
      </w:r>
    </w:p>
    <w:p>
      <w:pPr>
        <w:jc w:val="center"/>
      </w:pPr>
      <w:r>
        <w:rPr>
          <w:color w:val="595959"/>
          <w:sz w:val="19"/>
        </w:rPr>
        <w:t>版本：v1.0  |  依据：当前实物、已确认针序、感为八路灰度手册、HC-SR04手册与现有项目约束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Arial" w:hAnsi="Arial" w:eastAsia="微软雅黑"/>
                <w:b/>
                <w:color w:val="7F6000"/>
                <w:sz w:val="20"/>
              </w:rPr>
              <w:t>给 Codex 的硬性要求：先完成原理图与网络检查，不要直接开始 PCB 布线；凡是本文标注“待确认”的封装、孔距、针距、额定值，一律不要猜。先把原理图、网络名、连接器针序和待确认项回传给我审核，确认后再布板。</w:t>
            </w:r>
          </w:p>
        </w:tc>
      </w:tr>
    </w:tbl>
    <w:p/>
    <w:p>
      <w:pPr>
        <w:pStyle w:val="H1CN"/>
      </w:pPr>
      <w:r>
        <w:t>1. 项目当前硬件方案</w:t>
      </w:r>
    </w:p>
    <w:p>
      <w:pPr>
        <w:pStyle w:val="ListBullet"/>
      </w:pPr>
      <w:r>
        <w:t>底盘：两轮差速驱动 + 1 个万向轮。</w:t>
      </w:r>
    </w:p>
    <w:p>
      <w:pPr>
        <w:pStyle w:val="ListBullet"/>
      </w:pPr>
      <w:r>
        <w:t>主控：STM32F103C8T6 Blue Pill 最小系统板，可插拔。</w:t>
      </w:r>
    </w:p>
    <w:p>
      <w:pPr>
        <w:pStyle w:val="ListBullet"/>
      </w:pPr>
      <w:r>
        <w:t>电机：JGB37-520，DC 12V，330RPM，左右各 1 个，带编码器。</w:t>
      </w:r>
    </w:p>
    <w:p>
      <w:pPr>
        <w:pStyle w:val="ListBullet"/>
      </w:pPr>
      <w:r>
        <w:t>电机驱动：TB6612FNG 模块，1 块驱动两台电机；另 1 块备用。</w:t>
      </w:r>
    </w:p>
    <w:p>
      <w:pPr>
        <w:pStyle w:val="ListBullet"/>
      </w:pPr>
      <w:r>
        <w:t>循迹：感为八路灰度传感器，优先使用 I2C，前置安装。</w:t>
      </w:r>
    </w:p>
    <w:p>
      <w:pPr>
        <w:pStyle w:val="ListBullet"/>
      </w:pPr>
      <w:r>
        <w:t>避障：HC-SR04 型超声波模块 ×2，车头左右各 1 个。</w:t>
      </w:r>
    </w:p>
    <w:p>
      <w:pPr>
        <w:pStyle w:val="ListBullet"/>
      </w:pPr>
      <w:r>
        <w:t>无线：现成 BLE/UART 串口模块，实物丝印为 VCC(2.2-5V)、GND、TXD、RXD、GPIO1、GPIO2；不是按 HC-06 4Pin 转接板假设画。</w:t>
      </w:r>
    </w:p>
    <w:p>
      <w:pPr>
        <w:pStyle w:val="ListBullet"/>
      </w:pPr>
      <w:r>
        <w:t>供电：12V 锂电池；MP1584 将 12V 降至 5V。</w:t>
      </w:r>
    </w:p>
    <w:p>
      <w:pPr>
        <w:pStyle w:val="ListBullet"/>
      </w:pPr>
      <w:r>
        <w:t>可选：蜂鸣器、用户按键、12V 电源指示灯；建议全部保留。</w:t>
      </w:r>
    </w:p>
    <w:p>
      <w:pPr>
        <w:pStyle w:val="H1CN"/>
      </w:pPr>
      <w:r>
        <w:t>2. 电源架构与保护</w:t>
      </w:r>
    </w:p>
    <w:p>
      <w:pPr>
        <w:pStyle w:val="CodeCN"/>
        <w:spacing w:before="80" w:after="120"/>
        <w:ind w:left="397" w:right="397"/>
        <w:shd w:fill="F2F2F2"/>
      </w:pPr>
      <w:r>
        <w:rPr>
          <w:rFonts w:ascii="Consolas" w:hAnsi="Consolas" w:eastAsia="等线"/>
          <w:sz w:val="18"/>
        </w:rPr>
        <w:t>12V锂电池</w:t>
        <w:br/>
        <w:t xml:space="preserve">  │</w:t>
        <w:br/>
        <w:t xml:space="preserve">  ▼</w:t>
        <w:br/>
        <w:t>DC电源插座</w:t>
        <w:br/>
        <w:t xml:space="preserve">  │</w:t>
        <w:br/>
        <w:t>T3A 慢断保险丝（当前建议值，最终按实测电流复核）</w:t>
        <w:br/>
        <w:t xml:space="preserve">  │</w:t>
        <w:br/>
        <w:t>P-MOS 反接保护（优先 AO4407A 类 SO-8 P-MOS）</w:t>
        <w:br/>
        <w:t xml:space="preserve">  │</w:t>
        <w:br/>
        <w:t>总电源开关</w:t>
        <w:br/>
        <w:t xml:space="preserve">  │</w:t>
        <w:br/>
        <w:t xml:space="preserve">  ├────────→ 12V_BUS → TB6612 VM → 两台 JGB37-520</w:t>
        <w:br/>
        <w:t xml:space="preserve">  │</w:t>
        <w:br/>
        <w:t xml:space="preserve">  └────────→ MP1584 IN → 调整为 5V_BUS</w:t>
        <w:br/>
        <w:t xml:space="preserve">                         │</w:t>
        <w:br/>
        <w:t xml:space="preserve">                         ├→ STM32 Blue Pill 5V</w:t>
        <w:br/>
        <w:t xml:space="preserve">                         ├→ 感为八路灰度 +5V</w:t>
        <w:br/>
        <w:t xml:space="preserve">                         ├→ 左/右 HC-SR04 VCC</w:t>
        <w:br/>
        <w:t xml:space="preserve">                         └→ 左/右编码器 VCC（当前旧板实物已确认接 +5V）</w:t>
        <w:br/>
        <w:br/>
        <w:t>Blue Pill 板载 3.3V：仅供低功耗逻辑（TB6612 VCC、BLE模块、I2C上拉等）。</w:t>
        <w:br/>
        <w:t>禁止同时把外部3.3V源和 Blue Pill 的板载3.3V硬并联。</w:t>
      </w:r>
    </w:p>
    <w:p>
      <w:pPr>
        <w:pStyle w:val="H2CN"/>
      </w:pPr>
      <w:r>
        <w:t>2.1 保险丝</w:t>
      </w:r>
    </w:p>
    <w:p>
      <w:pPr>
        <w:pStyle w:val="ListBullet"/>
      </w:pPr>
      <w:r>
        <w:t>当前 PCB 预留 T3A（3A 慢断）方案，不把 2A 慢断写死。</w:t>
      </w:r>
    </w:p>
    <w:p>
      <w:pPr>
        <w:pStyle w:val="ListBullet"/>
      </w:pPr>
      <w:r>
        <w:t>最终值必须在整车落地后测：正常巡航总电流、起步瞬间电流、原地转向电流。</w:t>
      </w:r>
    </w:p>
    <w:p>
      <w:pPr>
        <w:pStyle w:val="ListBullet"/>
      </w:pPr>
      <w:r>
        <w:t>如果单台 JGB37-520 的持续/启动电流已经逼近 TB6612 能力上限，优先换驱动器，而不是一味增大保险丝。</w:t>
      </w:r>
    </w:p>
    <w:p>
      <w:pPr>
        <w:pStyle w:val="H2CN"/>
      </w:pPr>
      <w:r>
        <w:t>2.2 P-MOS 反接保护</w:t>
      </w:r>
    </w:p>
    <w:p>
      <w:pPr>
        <w:pStyle w:val="ListBullet"/>
      </w:pPr>
      <w:r>
        <w:t>优先 PCB 自做，不外挂现成模块。</w:t>
      </w:r>
    </w:p>
    <w:p>
      <w:pPr>
        <w:pStyle w:val="ListBullet"/>
      </w:pPr>
      <w:r>
        <w:t>不推荐 IRF9540：体积大、导通电阻高，不适合紧凑小车板。</w:t>
      </w:r>
    </w:p>
    <w:p>
      <w:pPr>
        <w:pStyle w:val="ListBullet"/>
      </w:pPr>
      <w:r>
        <w:t>不优先 AO3401：可用但栅源耐压余量不够舒服。</w:t>
      </w:r>
    </w:p>
    <w:p>
      <w:pPr>
        <w:pStyle w:val="ListBullet"/>
      </w:pPr>
      <w:r>
        <w:t>建议使用 AO4407A 类 30V P-MOS，SO-8 封装。</w:t>
      </w:r>
    </w:p>
    <w:p>
      <w:pPr>
        <w:pStyle w:val="ListBullet"/>
      </w:pPr>
      <w:r>
        <w:t>典型高边反接连接：电池正极（经保险丝后）→ P-MOS Drain；P-MOS Source → 受保护 12V_BUS；Gate 通过约 100k 下拉至 GND。AO4407A 的 VGS 余量足以覆盖 3S 锂电池。</w:t>
      </w:r>
    </w:p>
    <w:p>
      <w:pPr>
        <w:pStyle w:val="ListBullet"/>
      </w:pPr>
      <w:r>
        <w:t>如板上空间允许，在 12V_BUS 对地预留 TVS + 470~1000uF 电解 + 100nF 陶瓷。</w:t>
      </w:r>
    </w:p>
    <w:p>
      <w:pPr>
        <w:pStyle w:val="H1CN"/>
      </w:pPr>
      <w:r>
        <w:t>3. STM32F103C8T6 最终建议引脚分配（当前版）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04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STM32引脚</w:t>
            </w:r>
          </w:p>
        </w:tc>
        <w:tc>
          <w:tcPr>
            <w:tcW w:type="dxa" w:w="2835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连接对象</w:t>
            </w:r>
          </w:p>
        </w:tc>
        <w:tc>
          <w:tcPr>
            <w:tcW w:type="dxa" w:w="5386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左电机编码器 C1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TIM4_CH1；5V 容忍数字输入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左电机编码器 C2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TIM4_CH2；5V 容忍数字输入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PA15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右电机编码器 C1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TIM2_CH1（TIM2 Full Remap）；需关闭完整JTAG，仅保留SWD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右电机编码器 C2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TIM2_CH2（TIM2 Full Remap）；需关闭完整JTAG，仅保留SWD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TB6612 PWMA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左电机 PWM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PA11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TB6612 PWMB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右电机 PWM；不再使用USB功能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TB6612 AIN1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左电机方向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TB6612 AIN2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左电机方向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PB10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TB6612 BIN1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右电机方向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PB11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TB6612 BIN2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右电机方向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PB14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TB6612 STBY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驱动使能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感为 SCL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I2C1 重映射 SCL；3.3V 上拉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感为 SDA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I2C1 重映射 SDA；3.3V 上拉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左 HC-SR04 Trig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GPIO 输出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左 HC-SR04 Echo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5V 容忍 GPIO 输入；建议预留串联电阻/DNP分压位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右 HC-SR04 Trig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GPIO 输出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PB13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右 HC-SR04 Echo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5V 容忍 GPIO 输入；建议预留串联电阻/DNP分压位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BLE 模块 RXD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USART1_TX：STM32 TX → 模块 RXD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PA10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BLE 模块 TXD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USART1_RX：STM32 RX ← 模块 TXD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USB-TTL RX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USART2_TX，调试日志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USB-TTL TX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USART2_RX，调试日志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用户按键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GPIO输入，建议内部上拉，按下接GND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PB15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蜂鸣器驱动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GPIO输出，经三极管/MOS驱动蜂鸣器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电池电压采样（可选）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ADC输入，必须经分压，禁止12V直入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PA13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ST-Link SWDIO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保留，不占用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PA14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ST-Link SWCLK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保留，不占用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PC13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板载LED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状态指示，可直接利用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vAlign w:val="center"/>
          </w:tcPr>
          <w:p>
            <w:r/>
            <w:r>
              <w:rPr>
                <w:rFonts w:ascii="Arial" w:hAnsi="Arial" w:eastAsia="微软雅黑"/>
                <w:b/>
                <w:color w:val="375623"/>
                <w:sz w:val="19"/>
              </w:rPr>
              <w:t>CubeMX / 固件配置提醒：SYS→Debug 选择 Serial Wire（释放 PA15/PB3）；TIM2 使用 Full Remap 到 PA15/PB3；I2C1 重映射到 PB8/PB9。PA13/PA14 始终保留给 SWD。</w:t>
            </w:r>
          </w:p>
        </w:tc>
      </w:tr>
    </w:tbl>
    <w:p/>
    <w:p>
      <w:pPr>
        <w:pStyle w:val="H1CN"/>
      </w:pPr>
      <w:r>
        <w:t>4. JGB37-520 电机 + 编码器接口</w:t>
      </w:r>
    </w:p>
    <w:p>
      <w:pPr/>
      <w:r>
        <w:t>实物尾板丝印已经确认 6P 顺序为：</w:t>
      </w:r>
    </w:p>
    <w:p>
      <w:pPr>
        <w:pStyle w:val="CodeCN"/>
        <w:spacing w:before="80" w:after="120"/>
        <w:ind w:left="397" w:right="397"/>
        <w:shd w:fill="F2F2F2"/>
      </w:pPr>
      <w:r>
        <w:rPr>
          <w:rFonts w:ascii="Consolas" w:hAnsi="Consolas" w:eastAsia="等线"/>
          <w:sz w:val="18"/>
        </w:rPr>
        <w:t>1  M1</w:t>
        <w:br/>
        <w:t>2  GND</w:t>
        <w:br/>
        <w:t>3  C2</w:t>
        <w:br/>
        <w:t>4  C1</w:t>
        <w:br/>
        <w:t>5  VCC</w:t>
        <w:br/>
        <w:t>6  M2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268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电机尾板针脚</w:t>
            </w:r>
          </w:p>
        </w:tc>
        <w:tc>
          <w:tcPr>
            <w:tcW w:type="dxa" w:w="4535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PCB/STM32连接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M1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TB6612 AO1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M2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TB6612 AO2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系统 GND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VCC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+5V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PB6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PB7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M1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TB6612 BO1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M2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TB6612 BO2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系统 GND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VCC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+5V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PA15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PB3</w:t>
            </w:r>
          </w:p>
        </w:tc>
      </w:tr>
    </w:tbl>
    <w:p/>
    <w:p>
      <w:pPr>
        <w:pStyle w:val="ListBullet"/>
      </w:pPr>
      <w:r>
        <w:t>旧板实物走线已经确认编码器 VCC 使用 +5V。</w:t>
      </w:r>
    </w:p>
    <w:p>
      <w:pPr>
        <w:pStyle w:val="ListBullet"/>
      </w:pPr>
      <w:r>
        <w:t>C1/C2 直接接到选定的 5V 容忍 STM32 数字脚，不再走 PA0/PA1/PA6/PA7 方案。</w:t>
      </w:r>
    </w:p>
    <w:p>
      <w:pPr>
        <w:pStyle w:val="ListBullet"/>
      </w:pPr>
      <w:r>
        <w:t>连接器优先复用现有 6P 线束与插座形式；正式画封装前必须实测针距与锁扣方向，不要仅凭“XH2.54”名称猜 footprint。</w:t>
      </w:r>
    </w:p>
    <w:p>
      <w:pPr>
        <w:pStyle w:val="H1CN"/>
      </w:pPr>
      <w:r>
        <w:t>5. TB6612FNG 模块连接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TB6612引脚</w:t>
            </w:r>
          </w:p>
        </w:tc>
        <w:tc>
          <w:tcPr>
            <w:tcW w:type="dxa" w:w="2835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3969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VM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12V_BUS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电机电源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VCC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3.3V_LOGIC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逻辑电源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公共地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PWMA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PA8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左电机PWM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AIN1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左方向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AIN2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左方向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PWMB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PA11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右电机PWM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BIN1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PB10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右方向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BIN2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PB11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右方向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STBY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PB14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高电平使能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AO1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 M1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左电机输出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AO2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 M2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左电机输出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BO1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 M1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右电机输出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BO2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 M2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右电机输出</w:t>
            </w:r>
          </w:p>
        </w:tc>
      </w:tr>
    </w:tbl>
    <w:p/>
    <w:p>
      <w:pPr>
        <w:pStyle w:val="ListBullet"/>
      </w:pPr>
      <w:r>
        <w:t>TB6612 模块建议可插拔，便于后续若实测电流不足时更换驱动方案。</w:t>
      </w:r>
    </w:p>
    <w:p>
      <w:pPr>
        <w:pStyle w:val="ListBullet"/>
      </w:pPr>
      <w:r>
        <w:t>VM 附近放 470~1000uF 电解 + 100nF；VCC 旁放 100nF 去耦。</w:t>
      </w:r>
    </w:p>
    <w:p>
      <w:pPr>
        <w:pStyle w:val="ListBullet"/>
      </w:pPr>
      <w:r>
        <w:t>电机电流回路走粗线、短线，不要绕过 MCU/I2C/蓝牙区域。</w:t>
      </w:r>
    </w:p>
    <w:p>
      <w:pPr>
        <w:pStyle w:val="H1CN"/>
      </w:pPr>
      <w:r>
        <w:t>6. 双 HC-SR04 超声波模块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HC-SR04针脚</w:t>
            </w:r>
          </w:p>
        </w:tc>
        <w:tc>
          <w:tcPr>
            <w:tcW w:type="dxa" w:w="4535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连接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左模块 VCC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5V_BUS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左模块 GND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左模块 Trig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左模块 Echo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PB12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右模块 VCC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5V_BUS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右模块 GND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右模块 Trig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PA5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右模块 Echo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PB13</w:t>
            </w:r>
          </w:p>
        </w:tc>
      </w:tr>
    </w:tbl>
    <w:p/>
    <w:p>
      <w:pPr>
        <w:pStyle w:val="ListBullet"/>
      </w:pPr>
      <w:r>
        <w:t>标准 HC-SR04 手册：VCC=5V；Trig 为触发输入；Echo 为脉宽输出；Trig 至少 10us 高电平。</w:t>
      </w:r>
    </w:p>
    <w:p>
      <w:pPr>
        <w:pStyle w:val="ListBullet"/>
      </w:pPr>
      <w:r>
        <w:t>两颗模块不要同时触发；固件采用“左测→等待→右测→等待”的轮询，避免串扰。</w:t>
      </w:r>
    </w:p>
    <w:p>
      <w:pPr>
        <w:pStyle w:val="ListBullet"/>
      </w:pPr>
      <w:r>
        <w:t>机械：左右对称布置在车头两侧，基本朝前，可预留约 ±10° 调角。</w:t>
      </w:r>
    </w:p>
    <w:p>
      <w:pPr>
        <w:pStyle w:val="H1CN"/>
      </w:pPr>
      <w:r>
        <w:t>7. 感为八路灰度传感器（主循迹接口）</w:t>
      </w:r>
    </w:p>
    <w:p>
      <w:pPr>
        <w:pStyle w:val="ListBullet"/>
      </w:pPr>
      <w:r>
        <w:t>优先走 I2C，只需要 4 根线：+5V / GND / SCL / SDA。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感为接口</w:t>
            </w:r>
          </w:p>
        </w:tc>
        <w:tc>
          <w:tcPr>
            <w:tcW w:type="dxa" w:w="4535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连接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+5V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5V_BUS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SCL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PB8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SDA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PB9</w:t>
            </w:r>
          </w:p>
        </w:tc>
      </w:tr>
    </w:tbl>
    <w:p/>
    <w:p>
      <w:pPr>
        <w:pStyle w:val="ListBullet"/>
      </w:pPr>
      <w:r>
        <w:t>感为手册要求工作电压约 5V；I2C 的 SCL/SDA 本身浮空，需要主机提供上拉。</w:t>
      </w:r>
    </w:p>
    <w:p>
      <w:pPr>
        <w:pStyle w:val="ListBullet"/>
      </w:pPr>
      <w:r>
        <w:t>主板上给 PB8/PB9 各放 10k 上拉到 3.3V。</w:t>
      </w:r>
    </w:p>
    <w:p>
      <w:pPr>
        <w:pStyle w:val="ListBullet"/>
      </w:pPr>
      <w:r>
        <w:t>感为板上的 “SCL上拉 / SDA上拉” 5V 跳帽不要插，否则总线会被拉到 5V。</w:t>
      </w:r>
    </w:p>
    <w:p>
      <w:pPr>
        <w:pStyle w:val="ListBullet"/>
      </w:pPr>
      <w:r>
        <w:t>传感器安装高度建议先按手册约 20mm，安装高度变化后要重新校准。</w:t>
      </w:r>
    </w:p>
    <w:p>
      <w:pPr>
        <w:pStyle w:val="ListBullet"/>
      </w:pPr>
      <w:r>
        <w:t>如果还要保留亚博八路灰度作为备用，只预留接口；其 6P 针序在没有实物最终确认前不要画死。</w:t>
      </w:r>
    </w:p>
    <w:p>
      <w:pPr>
        <w:pStyle w:val="H1CN"/>
      </w:pPr>
      <w:r>
        <w:t>8. 现成 BLE/UART 蓝牙模块</w:t>
      </w:r>
      <w:r>
        <w:t>实物背面已明确标注：GPIO1 / VCC(2.2-5V) / GND / TXD / RXD / GPIO2。当前仅使用中间四根。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模块引脚</w:t>
            </w:r>
          </w:p>
        </w:tc>
        <w:tc>
          <w:tcPr>
            <w:tcW w:type="dxa" w:w="5102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连接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VCC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3.3V_LOGIC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TXD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PA10 / USART1_RX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RXD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PA9 / USART1_TX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GPIO1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悬空/预留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GPIO2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悬空/预留</w:t>
            </w:r>
          </w:p>
        </w:tc>
      </w:tr>
    </w:tbl>
    <w:p/>
    <w:p>
      <w:pPr>
        <w:pStyle w:val="ListBullet"/>
      </w:pPr>
      <w:r>
        <w:t>串口交叉连接：STM32 TX(PA9) → 模块 RXD；STM32 RX(PA10) ← 模块 TXD。</w:t>
      </w:r>
    </w:p>
    <w:p>
      <w:pPr>
        <w:pStyle w:val="ListBullet"/>
      </w:pPr>
      <w:r>
        <w:t>PCB 布局时把天线端放在板边；天线下方和前方保持无铜/无地/无大金属器件的 keep-out。</w:t>
      </w:r>
    </w:p>
    <w:p>
      <w:pPr>
        <w:pStyle w:val="ListBullet"/>
      </w:pPr>
      <w:r>
        <w:t>不要按 HC-06 4Pin 转接板 footprint 画，必须按这块实物尺寸/排针位置或做独立 4P 插座。</w:t>
      </w:r>
    </w:p>
    <w:p>
      <w:pPr>
        <w:pStyle w:val="H1CN"/>
      </w:pPr>
      <w:r>
        <w:t>9. MP1584 降压模块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MP1584焊盘</w:t>
            </w:r>
          </w:p>
        </w:tc>
        <w:tc>
          <w:tcPr>
            <w:tcW w:type="dxa" w:w="5102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连接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IN+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12V_BUS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IN-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OUT+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5V_BUS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OUT-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GND</w:t>
            </w:r>
          </w:p>
        </w:tc>
      </w:tr>
    </w:tbl>
    <w:p/>
    <w:p>
      <w:pPr>
        <w:pStyle w:val="ListBullet"/>
      </w:pPr>
      <w:r>
        <w:t>实物背面丝印已经确认 IN+/IN-/OUT+/OUT-。</w:t>
      </w:r>
    </w:p>
    <w:p>
      <w:pPr>
        <w:pStyle w:val="ListBullet"/>
      </w:pPr>
      <w:r>
        <w:t>第一次上电必须先脱离 STM32/传感器，用万用表把 OUT 调到约 5.0V，再接后级。</w:t>
      </w:r>
    </w:p>
    <w:p>
      <w:pPr>
        <w:pStyle w:val="ListBullet"/>
      </w:pPr>
      <w:r>
        <w:t>MP1584 的开关节点和电感附近不要走 I2C、编码器、蓝牙天线等敏感信号。</w:t>
      </w:r>
    </w:p>
    <w:p>
      <w:pPr>
        <w:pStyle w:val="H1CN"/>
      </w:pPr>
      <w:r>
        <w:t>10. 可选但建议保留的器件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器件</w:t>
            </w:r>
          </w:p>
        </w:tc>
        <w:tc>
          <w:tcPr>
            <w:tcW w:type="dxa" w:w="2268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STM32/网络</w:t>
            </w:r>
          </w:p>
        </w:tc>
        <w:tc>
          <w:tcPr>
            <w:tcW w:type="dxa" w:w="5102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连接说明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用户按键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按键一端接 PA12，另一端接 GND；固件内部上拉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蜂鸣器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PB15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PB15 不直接带大电流，经过三极管/MOS 管驱动有源蜂鸣器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12V 电源指示灯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无需GPIO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放在反接保护+总开关之后的 12V_BUS 上，串限流电阻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调试串口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PA2/PA3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4P：3V3/GND/TX/RX，接 USB-TTL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电池电压采样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PA0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12V_BUS 经高阻分压后进入 ADC；要保证满电时 ADC &lt;3.3V</w:t>
            </w:r>
          </w:p>
        </w:tc>
      </w:tr>
    </w:tbl>
    <w:p/>
    <w:p>
      <w:pPr>
        <w:pStyle w:val="H1CN"/>
      </w:pPr>
      <w:r>
        <w:t>11. PCB 布局约束（Codex 必须遵守）</w:t>
      </w:r>
    </w:p>
    <w:p>
      <w:pPr>
        <w:pStyle w:val="ListBullet"/>
      </w:pPr>
      <w:r>
        <w:t>电机/12V 大电流回路与 MCU、I2C、蓝牙区域分开；TB6612、MP1584 靠近电源入口和电机接口。</w:t>
      </w:r>
    </w:p>
    <w:p>
      <w:pPr>
        <w:pStyle w:val="ListBullet"/>
      </w:pPr>
      <w:r>
        <w:t>12V_BUS、VM、AO/BO 电机线走宽线并尽量短；逻辑信号不要与电机线长距离平行。</w:t>
      </w:r>
    </w:p>
    <w:p>
      <w:pPr>
        <w:pStyle w:val="ListBullet"/>
      </w:pPr>
      <w:r>
        <w:t>Blue Pill 放在板中央或易插拔区域，USB口和 SWD 口必须可接近。</w:t>
      </w:r>
    </w:p>
    <w:p>
      <w:pPr>
        <w:pStyle w:val="ListBullet"/>
      </w:pPr>
      <w:r>
        <w:t>左右电机 6P 插座放在靠近对应电机的一侧；左右超声波接口放在车头左右边缘；灰度接口放车头中央。</w:t>
      </w:r>
    </w:p>
    <w:p>
      <w:pPr>
        <w:pStyle w:val="ListBullet"/>
      </w:pPr>
      <w:r>
        <w:t>BLE 模块天线朝板外侧，天线 keep-out 区不铺铜、不放走线、不放金属支架。</w:t>
      </w:r>
    </w:p>
    <w:p>
      <w:pPr>
        <w:pStyle w:val="ListBullet"/>
      </w:pPr>
      <w:r>
        <w:t>I2C 的 10k 上拉靠近 MCU/总线主干；感为板的 5V 上拉跳帽不使用。</w:t>
      </w:r>
    </w:p>
    <w:p>
      <w:pPr>
        <w:pStyle w:val="ListBullet"/>
      </w:pPr>
      <w:r>
        <w:t>TB6612 VM 附近放大电解；逻辑芯片/模块电源口附近放 100nF 去耦。</w:t>
      </w:r>
    </w:p>
    <w:p>
      <w:pPr>
        <w:pStyle w:val="ListBullet"/>
      </w:pPr>
      <w:r>
        <w:t>MP1584 的 SW/电感区域远离蓝牙天线和编码器/I2C；输入输出电容靠近模块。</w:t>
      </w:r>
    </w:p>
    <w:p>
      <w:pPr>
        <w:pStyle w:val="ListBullet"/>
      </w:pPr>
      <w:r>
        <w:t>当前机械沟通的 PCB 外形包络按约 120×100mm 预估，但最终尺寸、安装孔孔径与孔距必须等机械组冻结后再定，不允许 Codex 自己猜孔位。</w:t>
      </w:r>
    </w:p>
    <w:p>
      <w:pPr>
        <w:pStyle w:val="H1CN"/>
      </w:pPr>
      <w:r>
        <w:t>12. 推荐统一网络命名</w:t>
      </w:r>
    </w:p>
    <w:p>
      <w:pPr>
        <w:pStyle w:val="CodeCN"/>
        <w:spacing w:before="80" w:after="120"/>
        <w:ind w:left="397" w:right="397"/>
        <w:shd w:fill="F2F2F2"/>
      </w:pPr>
      <w:r>
        <w:rPr>
          <w:rFonts w:ascii="Consolas" w:hAnsi="Consolas" w:eastAsia="等线"/>
          <w:sz w:val="18"/>
        </w:rPr>
        <w:t>12V_RAW      电池/DC插座原始输入</w:t>
        <w:br/>
        <w:t>12V_FUSED    保险丝之后</w:t>
        <w:br/>
        <w:t>12V_BUS      反接保护+开关之后的整车12V</w:t>
        <w:br/>
        <w:t>5V_BUS       MP1584 输出</w:t>
        <w:br/>
        <w:t>3V3_LOGIC    Blue Pill 板载3.3V低功耗逻辑</w:t>
        <w:br/>
        <w:t>GND          公共地</w:t>
        <w:br/>
        <w:br/>
        <w:t>ENC_L_C1 / ENC_L_C2</w:t>
        <w:br/>
        <w:t>ENC_R_C1 / ENC_R_C2</w:t>
        <w:br/>
        <w:t>MOTOR_L_M1 / MOTOR_L_M2</w:t>
        <w:br/>
        <w:t>MOTOR_R_M1 / MOTOR_R_M2</w:t>
        <w:br/>
        <w:t>US_L_TRIG / US_L_ECHO</w:t>
        <w:br/>
        <w:t>US_R_TRIG / US_R_ECHO</w:t>
        <w:br/>
        <w:t>I2C_SCL / I2C_SDA</w:t>
        <w:br/>
        <w:t>BLE_TX / BLE_RX</w:t>
        <w:br/>
        <w:t>DBG_TX / DBG_RX</w:t>
      </w:r>
    </w:p>
    <w:p>
      <w:pPr>
        <w:pStyle w:val="H1CN"/>
      </w:pPr>
      <w:r>
        <w:t>13. 尚未完全冻结：Codex 不得自行猜测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472C4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处理原则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电机 6P 插座 footprint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针序已确认，但针距、塑壳尺寸、锁扣方向仍需实测现有线束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DC 圆孔电源插座 footprint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必须依据实物测量/通断测试确定三个焊脚功能与孔位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总电源开关 footprint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实物三脚开关需通断档确认 COM 与两侧脚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PCB 外形和安装孔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机械组尚需冻结板框、孔径、孔中心距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TB6612 是否最终保留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先实测 JGB37-520 两台电机的运行/起步电流；若余量不足更换驱动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保险丝最终额定值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PCB先按 T3A 方案预留，实车测流后定型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亚博灰度备用接口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没有最终实物针序确认前不作为主方案</w:t>
            </w:r>
          </w:p>
        </w:tc>
      </w:tr>
    </w:tbl>
    <w:p/>
    <w:p>
      <w:pPr>
        <w:pStyle w:val="H1CN"/>
      </w:pPr>
      <w:r>
        <w:t>14. 给 Codex 的执行顺序</w:t>
      </w:r>
    </w:p>
    <w:p>
      <w:pPr>
        <w:pStyle w:val="ListNumber"/>
      </w:pPr>
      <w:r>
        <w:t>建立原理图项目，先定义 12V_RAW / 12V_FUSED / 12V_BUS / 5V_BUS / 3V3_LOGIC / GND。</w:t>
      </w:r>
    </w:p>
    <w:p>
      <w:pPr>
        <w:pStyle w:val="ListNumber"/>
      </w:pPr>
      <w:r>
        <w:t>先画电源入口：DC插座 → T3A保险丝 → AO4407A反接保护 → 总开关 → 12V_BUS；加 TVS、大电解、12V指示灯。</w:t>
      </w:r>
    </w:p>
    <w:p>
      <w:pPr>
        <w:pStyle w:val="ListNumber"/>
      </w:pPr>
      <w:r>
        <w:t>画 MP1584 模块座并连接 12V_BUS→5V_BUS。</w:t>
      </w:r>
    </w:p>
    <w:p>
      <w:pPr>
        <w:pStyle w:val="ListNumber"/>
      </w:pPr>
      <w:r>
        <w:t>画 Blue Pill 可插拔排母，并按本文引脚表连接。</w:t>
      </w:r>
    </w:p>
    <w:p>
      <w:pPr>
        <w:pStyle w:val="ListNumber"/>
      </w:pPr>
      <w:r>
        <w:t>画 TB6612 模块座、电机 6P 插座、编码器网络。</w:t>
      </w:r>
    </w:p>
    <w:p>
      <w:pPr>
        <w:pStyle w:val="ListNumber"/>
      </w:pPr>
      <w:r>
        <w:t>画双 HC-SR04 4P 接口、感为 4P I2C 接口、BLE 4P 接口、USB-TTL调试口、按键、蜂鸣器。</w:t>
      </w:r>
    </w:p>
    <w:p>
      <w:pPr>
        <w:pStyle w:val="ListNumber"/>
      </w:pPr>
      <w:r>
        <w:t>完成 ERC；检查电源方向、网络名重复、未连接脚、I2C上拉、电机 C1/C2 是否接到指定 FT 引脚。</w:t>
      </w:r>
    </w:p>
    <w:p>
      <w:pPr>
        <w:pStyle w:val="ListNumber"/>
      </w:pPr>
      <w:r>
        <w:t>把“原理图截图 + 引脚/网络清单 + 所有 footprint 列表 + 待确认项”发回审核。</w:t>
      </w:r>
    </w:p>
    <w:p>
      <w:pPr>
        <w:pStyle w:val="ListNumber"/>
      </w:pPr>
      <w:r>
        <w:t>审核通过后再进 PCB，先锁板框/安装孔，再做器件布局，最后布线和铺铜。</w:t>
      </w:r>
    </w:p>
    <w:p>
      <w:pPr>
        <w:pStyle w:val="H1CN"/>
      </w:pPr>
      <w:r>
        <w:t>15. 本说明的依据</w:t>
      </w:r>
    </w:p>
    <w:p>
      <w:pPr>
        <w:pStyle w:val="ListBullet"/>
      </w:pPr>
      <w:r>
        <w:t>感为《8路灰度传感器数据手册》（用户上传，2025-04-27版）：确认 5V供电、并行/串行/I2C、I2C上拉注意事项、安装高度等。</w:t>
      </w:r>
    </w:p>
    <w:p>
      <w:pPr>
        <w:pStyle w:val="ListBullet"/>
      </w:pPr>
      <w:r>
        <w:t>HC-SR04 数据手册（用户上传）：确认 VCC/Trig/Echo/GND、5V工作、电平时序及测量周期。</w:t>
      </w:r>
    </w:p>
    <w:p>
      <w:pPr>
        <w:pStyle w:val="ListBullet"/>
      </w:pPr>
      <w:r>
        <w:t>用户实物照片：确认 JGB37-520 尾板针序 M1/GND/C2/C1/VCC/M2，且旧板 VCC 网络为 +5V；确认 MP1584 IN+/IN-/OUT+/OUT-；确认 BLE 模块实物丝印。</w:t>
      </w:r>
    </w:p>
    <w:p>
      <w:pPr>
        <w:pStyle w:val="ListBullet"/>
      </w:pPr>
      <w:r>
        <w:t>当前对话已冻结的 STM32 引脚规划与项目结构。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工创小车 PCB 设计交接说明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rPr>
      <w:rFonts w:ascii="Arial" w:hAnsi="Arial" w:eastAsia="微软雅黑"/>
      <w:b/>
      <w:color w:val="1F4E78"/>
      <w:sz w:val="36"/>
    </w:rPr>
  </w:style>
  <w:style w:type="paragraph" w:customStyle="1" w:styleId="H1CN">
    <w:name w:val="H1CN"/>
    <w:rPr>
      <w:rFonts w:ascii="Arial" w:hAnsi="Arial" w:eastAsia="微软雅黑"/>
      <w:b/>
      <w:color w:val="1F4E78"/>
      <w:sz w:val="30"/>
    </w:rPr>
  </w:style>
  <w:style w:type="paragraph" w:customStyle="1" w:styleId="H2CN">
    <w:name w:val="H2CN"/>
    <w:rPr>
      <w:rFonts w:ascii="Arial" w:hAnsi="Arial" w:eastAsia="微软雅黑"/>
      <w:b/>
      <w:color w:val="2F5597"/>
      <w:sz w:val="24"/>
    </w:rPr>
  </w:style>
  <w:style w:type="paragraph" w:customStyle="1" w:styleId="NoteCN">
    <w:name w:val="NoteCN"/>
    <w:rPr>
      <w:rFonts w:ascii="Arial" w:hAnsi="Arial" w:eastAsia="微软雅黑"/>
      <w:b w:val="0"/>
      <w:color w:val="7F6000"/>
      <w:sz w:val="20"/>
    </w:rPr>
  </w:style>
  <w:style w:type="paragraph" w:customStyle="1" w:styleId="CodeCN">
    <w:name w:val="CodeCN"/>
    <w:rPr>
      <w:rFonts w:ascii="Arial" w:hAnsi="Arial" w:eastAsia="微软雅黑"/>
      <w:b w:val="0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