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pPr>
      <w:r>
        <w:rPr>
          <w:rFonts w:ascii="Arial" w:cs="Arial" w:eastAsia="Arial" w:hAnsi="Arial"/>
          <w:b/>
          <w:bCs/>
          <w:color w:val="0D6D62"/>
          <w:sz w:val="52"/>
          <w:szCs w:val="52"/>
        </w:rPr>
        <w:t xml:space="preserve">CAREREWARD APP</w:t>
      </w:r>
    </w:p>
    <w:p>
      <w:pPr>
        <w:spacing w:after="60"/>
      </w:pPr>
      <w:r>
        <w:rPr>
          <w:rFonts w:ascii="Arial" w:cs="Arial" w:eastAsia="Arial" w:hAnsi="Arial"/>
          <w:color w:val="1E293B"/>
          <w:sz w:val="34"/>
          <w:szCs w:val="34"/>
        </w:rPr>
        <w:t xml:space="preserve">Technical Product Manager Review</w:t>
      </w:r>
    </w:p>
    <w:p>
      <w:pPr>
        <w:spacing w:after="40"/>
      </w:pPr>
      <w:r>
        <w:rPr>
          <w:rFonts w:ascii="Arial" w:cs="Arial" w:eastAsia="Arial" w:hAnsi="Arial"/>
          <w:color w:val="64748B"/>
          <w:sz w:val="20"/>
          <w:szCs w:val="20"/>
        </w:rPr>
        <w:t xml:space="preserve">Prepared: June 5, 2026  |  Source: carereward.apk  |  Version: 1.0.0 (Build 1)</w:t>
      </w:r>
    </w:p>
    <w:p>
      <w:pPr>
        <w:pBdr>
          <w:bottom w:val="single" w:color="0D6D62" w:sz="12"/>
        </w:pBdr>
        <w:spacing w:after="320"/>
      </w:pPr>
      <w:r>
        <w:t xml:space="preserve"/>
      </w:r>
    </w:p>
    <w:p>
      <w:pPr>
        <w:pStyle w:val="Heading1"/>
        <w:spacing w:after="160" w:before="360"/>
      </w:pPr>
      <w:r>
        <w:rPr>
          <w:rFonts w:ascii="Arial" w:cs="Arial" w:eastAsia="Arial" w:hAnsi="Arial"/>
          <w:b/>
          <w:bCs/>
          <w:color w:val="0D6D62"/>
          <w:sz w:val="36"/>
          <w:szCs w:val="36"/>
        </w:rPr>
        <w:t xml:space="preserve">1. Executive Summary</w:t>
      </w:r>
    </w:p>
    <w:p>
      <w:pPr>
        <w:spacing w:after="120"/>
      </w:pPr>
      <w:r>
        <w:rPr>
          <w:rFonts w:ascii="Arial" w:cs="Arial" w:eastAsia="Arial" w:hAnsi="Arial"/>
          <w:color w:val="1E293B"/>
          <w:sz w:val="22"/>
          <w:szCs w:val="22"/>
        </w:rPr>
        <w:t xml:space="preserve">CareReward is a React Native mobile application (Android APK, v1.0.0) designed to help health plan members save money on healthcare costs while earning rewards for healthy behaviours. The app acts as a financial wellness layer on top of the member's existing insurance — surfacing cost-saving opportunities, tracking claims, generating doctor notes, and converting health actions into redeemable points.</w:t>
      </w:r>
    </w:p>
    <w:p>
      <w:pPr>
        <w:spacing w:after="80"/>
      </w:pPr>
      <w:r>
        <w:t xml:space="preserve"/>
      </w:r>
    </w:p>
    <w:p>
      <w:pPr>
        <w:spacing w:after="120"/>
      </w:pPr>
      <w:r>
        <w:rPr>
          <w:rFonts w:ascii="Arial" w:cs="Arial" w:eastAsia="Arial" w:hAnsi="Arial"/>
          <w:color w:val="1E293B"/>
          <w:sz w:val="22"/>
          <w:szCs w:val="22"/>
        </w:rPr>
        <w:t xml:space="preserve">The core product hypothesis is sound: members who engage with their benefits intelligence earn points, shift to lower-cost care options, and reduce out-of-pocket spending. The app shows strong conceptual coverage across the member healthcare journey. However, as a v1.0.0 build it carries several areas that need hardening before a public launch — particularly around real backend connectivity, data accuracy, and UX polish.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D1FAE5" w:val="clear"/>
            <w:tcMar>
              <w:top w:type="dxa" w:w="120"/>
              <w:left w:type="dxa" w:w="140"/>
              <w:bottom w:type="dxa" w:w="120"/>
              <w:right w:type="dxa" w:w="140"/>
            </w:tcMar>
          </w:tcPr>
          <w:p>
            <w:pPr>
              <w:jc w:val="center"/>
            </w:pPr>
            <w:r>
              <w:rPr>
                <w:rFonts w:ascii="Arial" w:cs="Arial" w:eastAsia="Arial" w:hAnsi="Arial"/>
                <w:b/>
                <w:bCs/>
                <w:color w:val="065F46"/>
                <w:sz w:val="22"/>
                <w:szCs w:val="22"/>
              </w:rPr>
              <w:t xml:space="preserve">STRENGTHS</w:t>
            </w:r>
          </w:p>
          <w:p>
            <w:pPr>
              <w:jc w:val="center"/>
            </w:pPr>
            <w:r>
              <w:rPr>
                <w:rFonts w:ascii="Arial" w:cs="Arial" w:eastAsia="Arial" w:hAnsi="Arial"/>
                <w:color w:val="1E293B"/>
                <w:sz w:val="20"/>
                <w:szCs w:val="20"/>
              </w:rPr>
              <w:t xml:space="preserve">Rich feature coverage</w:t>
            </w:r>
          </w:p>
          <w:p>
            <w:pPr>
              <w:jc w:val="center"/>
            </w:pPr>
            <w:r>
              <w:rPr>
                <w:rFonts w:ascii="Arial" w:cs="Arial" w:eastAsia="Arial" w:hAnsi="Arial"/>
                <w:color w:val="1E293B"/>
                <w:sz w:val="20"/>
                <w:szCs w:val="20"/>
              </w:rPr>
              <w:t xml:space="preserve">Solid tech stack</w:t>
            </w:r>
          </w:p>
          <w:p>
            <w:pPr>
              <w:jc w:val="center"/>
            </w:pPr>
            <w:r>
              <w:rPr>
                <w:rFonts w:ascii="Arial" w:cs="Arial" w:eastAsia="Arial" w:hAnsi="Arial"/>
                <w:color w:val="1E293B"/>
                <w:sz w:val="20"/>
                <w:szCs w:val="20"/>
              </w:rPr>
              <w:t xml:space="preserve">Clear value prop</w:t>
            </w:r>
          </w:p>
        </w:tc>
        <w:tc>
          <w:tcPr>
            <w:tcW w:type="dxa" w:w="2340"/>
            <w:tcBorders>
              <w:top w:val="single" w:color="E2E8F0" w:sz="1"/>
              <w:left w:val="single" w:color="E2E8F0" w:sz="1"/>
              <w:bottom w:val="single" w:color="E2E8F0" w:sz="1"/>
              <w:right w:val="single" w:color="E2E8F0" w:sz="1"/>
            </w:tcBorders>
            <w:shd w:fill="FEF3C7" w:val="clear"/>
            <w:tcMar>
              <w:top w:type="dxa" w:w="120"/>
              <w:left w:type="dxa" w:w="140"/>
              <w:bottom w:type="dxa" w:w="120"/>
              <w:right w:type="dxa" w:w="140"/>
            </w:tcMar>
          </w:tcPr>
          <w:p>
            <w:pPr>
              <w:jc w:val="center"/>
            </w:pPr>
            <w:r>
              <w:rPr>
                <w:rFonts w:ascii="Arial" w:cs="Arial" w:eastAsia="Arial" w:hAnsi="Arial"/>
                <w:b/>
                <w:bCs/>
                <w:color w:val="92400E"/>
                <w:sz w:val="22"/>
                <w:szCs w:val="22"/>
              </w:rPr>
              <w:t xml:space="preserve">RISKS</w:t>
            </w:r>
          </w:p>
          <w:p>
            <w:pPr>
              <w:jc w:val="center"/>
            </w:pPr>
            <w:r>
              <w:rPr>
                <w:rFonts w:ascii="Arial" w:cs="Arial" w:eastAsia="Arial" w:hAnsi="Arial"/>
                <w:color w:val="1E293B"/>
                <w:sz w:val="20"/>
                <w:szCs w:val="20"/>
              </w:rPr>
              <w:t xml:space="preserve">Mock data visible</w:t>
            </w:r>
          </w:p>
          <w:p>
            <w:pPr>
              <w:jc w:val="center"/>
            </w:pPr>
            <w:r>
              <w:rPr>
                <w:rFonts w:ascii="Arial" w:cs="Arial" w:eastAsia="Arial" w:hAnsi="Arial"/>
                <w:color w:val="1E293B"/>
                <w:sz w:val="20"/>
                <w:szCs w:val="20"/>
              </w:rPr>
              <w:t xml:space="preserve">No prod API URL</w:t>
            </w:r>
          </w:p>
          <w:p>
            <w:pPr>
              <w:jc w:val="center"/>
            </w:pPr>
            <w:r>
              <w:rPr>
                <w:rFonts w:ascii="Arial" w:cs="Arial" w:eastAsia="Arial" w:hAnsi="Arial"/>
                <w:color w:val="1E293B"/>
                <w:sz w:val="20"/>
                <w:szCs w:val="20"/>
              </w:rPr>
              <w:t xml:space="preserve">Broad permissions</w:t>
            </w:r>
          </w:p>
        </w:tc>
        <w:tc>
          <w:tcPr>
            <w:tcW w:type="dxa" w:w="2340"/>
            <w:tcBorders>
              <w:top w:val="single" w:color="E2E8F0" w:sz="1"/>
              <w:left w:val="single" w:color="E2E8F0" w:sz="1"/>
              <w:bottom w:val="single" w:color="E2E8F0" w:sz="1"/>
              <w:right w:val="single" w:color="E2E8F0" w:sz="1"/>
            </w:tcBorders>
            <w:shd w:fill="DBEAFE" w:val="clear"/>
            <w:tcMar>
              <w:top w:type="dxa" w:w="120"/>
              <w:left w:type="dxa" w:w="140"/>
              <w:bottom w:type="dxa" w:w="120"/>
              <w:right w:type="dxa" w:w="140"/>
            </w:tcMar>
          </w:tcPr>
          <w:p>
            <w:pPr>
              <w:jc w:val="center"/>
            </w:pPr>
            <w:r>
              <w:rPr>
                <w:rFonts w:ascii="Arial" w:cs="Arial" w:eastAsia="Arial" w:hAnsi="Arial"/>
                <w:b/>
                <w:bCs/>
                <w:color w:val="1E40AF"/>
                <w:sz w:val="22"/>
                <w:szCs w:val="22"/>
              </w:rPr>
              <w:t xml:space="preserve">OPPORTUNITIES</w:t>
            </w:r>
          </w:p>
          <w:p>
            <w:pPr>
              <w:jc w:val="center"/>
            </w:pPr>
            <w:r>
              <w:rPr>
                <w:rFonts w:ascii="Arial" w:cs="Arial" w:eastAsia="Arial" w:hAnsi="Arial"/>
                <w:color w:val="1E293B"/>
                <w:sz w:val="20"/>
                <w:szCs w:val="20"/>
              </w:rPr>
              <w:t xml:space="preserve">New Architecture</w:t>
            </w:r>
          </w:p>
          <w:p>
            <w:pPr>
              <w:jc w:val="center"/>
            </w:pPr>
            <w:r>
              <w:rPr>
                <w:rFonts w:ascii="Arial" w:cs="Arial" w:eastAsia="Arial" w:hAnsi="Arial"/>
                <w:color w:val="1E293B"/>
                <w:sz w:val="20"/>
                <w:szCs w:val="20"/>
              </w:rPr>
              <w:t xml:space="preserve">iOS release</w:t>
            </w:r>
          </w:p>
          <w:p>
            <w:pPr>
              <w:jc w:val="center"/>
            </w:pPr>
            <w:r>
              <w:rPr>
                <w:rFonts w:ascii="Arial" w:cs="Arial" w:eastAsia="Arial" w:hAnsi="Arial"/>
                <w:color w:val="1E293B"/>
                <w:sz w:val="20"/>
                <w:szCs w:val="20"/>
              </w:rPr>
              <w:t xml:space="preserve">Wearable/health data</w:t>
            </w:r>
          </w:p>
        </w:tc>
        <w:tc>
          <w:tcPr>
            <w:tcW w:type="dxa" w:w="2340"/>
            <w:tcBorders>
              <w:top w:val="single" w:color="E2E8F0" w:sz="1"/>
              <w:left w:val="single" w:color="E2E8F0" w:sz="1"/>
              <w:bottom w:val="single" w:color="E2E8F0" w:sz="1"/>
              <w:right w:val="single" w:color="E2E8F0" w:sz="1"/>
            </w:tcBorders>
            <w:shd w:fill="FEE2E2" w:val="clear"/>
            <w:tcMar>
              <w:top w:type="dxa" w:w="120"/>
              <w:left w:type="dxa" w:w="140"/>
              <w:bottom w:type="dxa" w:w="120"/>
              <w:right w:type="dxa" w:w="140"/>
            </w:tcMar>
          </w:tcPr>
          <w:p>
            <w:pPr>
              <w:jc w:val="center"/>
            </w:pPr>
            <w:r>
              <w:rPr>
                <w:rFonts w:ascii="Arial" w:cs="Arial" w:eastAsia="Arial" w:hAnsi="Arial"/>
                <w:b/>
                <w:bCs/>
                <w:color w:val="991B1B"/>
                <w:sz w:val="22"/>
                <w:szCs w:val="22"/>
              </w:rPr>
              <w:t xml:space="preserve">BLOCKERS</w:t>
            </w:r>
          </w:p>
          <w:p>
            <w:pPr>
              <w:jc w:val="center"/>
            </w:pPr>
            <w:r>
              <w:rPr>
                <w:rFonts w:ascii="Arial" w:cs="Arial" w:eastAsia="Arial" w:hAnsi="Arial"/>
                <w:color w:val="1E293B"/>
                <w:sz w:val="20"/>
                <w:szCs w:val="20"/>
              </w:rPr>
              <w:t xml:space="preserve">HIPAA compliance?</w:t>
            </w:r>
          </w:p>
          <w:p>
            <w:pPr>
              <w:jc w:val="center"/>
            </w:pPr>
            <w:r>
              <w:rPr>
                <w:rFonts w:ascii="Arial" w:cs="Arial" w:eastAsia="Arial" w:hAnsi="Arial"/>
                <w:color w:val="1E293B"/>
                <w:sz w:val="20"/>
                <w:szCs w:val="20"/>
              </w:rPr>
              <w:t xml:space="preserve">Insurer data feeds</w:t>
            </w:r>
          </w:p>
          <w:p>
            <w:pPr>
              <w:jc w:val="center"/>
            </w:pPr>
            <w:r>
              <w:rPr>
                <w:rFonts w:ascii="Arial" w:cs="Arial" w:eastAsia="Arial" w:hAnsi="Arial"/>
                <w:color w:val="1E293B"/>
                <w:sz w:val="20"/>
                <w:szCs w:val="20"/>
              </w:rPr>
              <w:t xml:space="preserve">Doctor note validity</w:t>
            </w:r>
          </w:p>
        </w:tc>
      </w:tr>
    </w:tbl>
    <w:p>
      <w:pPr>
        <w:spacing w:after="80"/>
      </w:pPr>
      <w:r>
        <w:t xml:space="preserve"/>
      </w:r>
    </w:p>
    <w:p>
      <w:pPr>
        <w:spacing w:after="80"/>
      </w:pPr>
      <w:r>
        <w:t xml:space="preserve"/>
      </w:r>
    </w:p>
    <w:p>
      <w:pPr>
        <w:pStyle w:val="Heading1"/>
        <w:spacing w:after="160" w:before="360"/>
      </w:pPr>
      <w:r>
        <w:rPr>
          <w:rFonts w:ascii="Arial" w:cs="Arial" w:eastAsia="Arial" w:hAnsi="Arial"/>
          <w:b/>
          <w:bCs/>
          <w:color w:val="0D6D62"/>
          <w:sz w:val="36"/>
          <w:szCs w:val="36"/>
        </w:rPr>
        <w:t xml:space="preserve">2. Technical Stack Analysis</w:t>
      </w:r>
    </w:p>
    <w:p>
      <w:pPr>
        <w:spacing w:after="120"/>
      </w:pPr>
      <w:r>
        <w:rPr>
          <w:rFonts w:ascii="Arial" w:cs="Arial" w:eastAsia="Arial" w:hAnsi="Arial"/>
          <w:color w:val="1E293B"/>
          <w:sz w:val="22"/>
          <w:szCs w:val="22"/>
        </w:rPr>
        <w:t xml:space="preserve">Extracted from AndroidManifest.xml, app.config, and the Hermes bytecode bundle.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Framework</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React Native (Expo SDK 51.0.0) — portrait orientation only</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JS Engine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Hermes (bytecode compiled) — fast startup, good for mobile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New Architecture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DISABLED (newArchEnabled: false) — significant performance opportunity</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Build System</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Gradle 8.8, Kotlin 1.9.22, Java 17 source/target compatibility</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Package ID</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com.carereward.mobile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Version</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1.0.0 (versionCode 1) — first public build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Min/Target SDK</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ARM64-v8a + ARMv7a — no x86 (no emulator support by default)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Authentication</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expo-secure-store (encrypted storage) + expo-local-authentication (biometrics)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Navigation</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React Navigation v6 (Stack, Tab, Drawer navigators)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Animations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React Native Reanimated v3 (worklet-based), Gesture Handler</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State Management</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Zustand (persist + devtools middlewares detected)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Icons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Expo Vector Icons — FontAwesome5, FontAwesome6, MaterialCommunityIcons, etc.</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Platform Support</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Android (this APK); iOS config present (com.carereward.mobile bundle ID)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Baseline Profile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Present — fast app startup via ART compilation hints</w:t>
            </w:r>
          </w:p>
        </w:tc>
      </w:tr>
    </w:tbl>
    <w:p>
      <w:pPr>
        <w:spacing w:after="80"/>
      </w:pPr>
      <w:r>
        <w:t xml:space="preserve"/>
      </w:r>
    </w:p>
    <w:p>
      <w:pPr>
        <w:pStyle w:val="Heading2"/>
        <w:pBdr>
          <w:bottom w:val="single" w:color="E0F2FE" w:sz="4"/>
        </w:pBdr>
        <w:spacing w:after="120" w:before="280"/>
      </w:pPr>
      <w:r>
        <w:rPr>
          <w:rFonts w:ascii="Arial" w:cs="Arial" w:eastAsia="Arial" w:hAnsi="Arial"/>
          <w:b/>
          <w:bCs/>
          <w:color w:val="1E293B"/>
          <w:sz w:val="28"/>
          <w:szCs w:val="28"/>
        </w:rPr>
        <w:t xml:space="preserve">2.1 Key Technical Observations</w:t>
      </w:r>
    </w:p>
    <w:p>
      <w:pPr>
        <w:pStyle w:val="ListParagraph"/>
        <w:numPr>
          <w:ilvl w:val="0"/>
          <w:numId w:val="2"/>
        </w:numPr>
        <w:spacing w:after="80"/>
      </w:pPr>
      <w:r>
        <w:rPr>
          <w:rFonts w:ascii="Arial" w:cs="Arial" w:eastAsia="Arial" w:hAnsi="Arial"/>
          <w:color w:val="1E293B"/>
          <w:sz w:val="22"/>
          <w:szCs w:val="22"/>
        </w:rPr>
        <w:t xml:space="preserve">Hermes bytecode means the JS source is not readable from the APK, which is good for IP protection. However it also means debugging in production requires source maps.</w:t>
      </w:r>
    </w:p>
    <w:p>
      <w:pPr>
        <w:pStyle w:val="ListParagraph"/>
        <w:numPr>
          <w:ilvl w:val="0"/>
          <w:numId w:val="2"/>
        </w:numPr>
        <w:spacing w:after="80"/>
      </w:pPr>
      <w:r>
        <w:rPr>
          <w:rFonts w:ascii="Arial" w:cs="Arial" w:eastAsia="Arial" w:hAnsi="Arial"/>
          <w:color w:val="1E293B"/>
          <w:sz w:val="22"/>
          <w:szCs w:val="22"/>
        </w:rPr>
        <w:t xml:space="preserve">New Architecture being disabled is a missed performance win. Enabling it (JSI, Fabric, TurboModules) would meaningfully improve scroll performance and animation throughput — important for a dashboard-heavy app.</w:t>
      </w:r>
    </w:p>
    <w:p>
      <w:pPr>
        <w:pStyle w:val="ListParagraph"/>
        <w:numPr>
          <w:ilvl w:val="0"/>
          <w:numId w:val="2"/>
        </w:numPr>
        <w:spacing w:after="80"/>
      </w:pPr>
      <w:r>
        <w:rPr>
          <w:rFonts w:ascii="Arial" w:cs="Arial" w:eastAsia="Arial" w:hAnsi="Arial"/>
          <w:color w:val="1E293B"/>
          <w:sz w:val="22"/>
          <w:szCs w:val="22"/>
        </w:rPr>
        <w:t xml:space="preserve">Three DEX files (classes.dex ~7MB, classes3.dex ~9MB) indicate a large dependency tree. Dead code elimination (ProGuard/R8) should be verified in the release build pipeline.</w:t>
      </w:r>
    </w:p>
    <w:p>
      <w:pPr>
        <w:pStyle w:val="ListParagraph"/>
        <w:numPr>
          <w:ilvl w:val="0"/>
          <w:numId w:val="2"/>
        </w:numPr>
        <w:spacing w:after="80"/>
      </w:pPr>
      <w:r>
        <w:rPr>
          <w:rFonts w:ascii="Arial" w:cs="Arial" w:eastAsia="Arial" w:hAnsi="Arial"/>
          <w:color w:val="1E293B"/>
          <w:sz w:val="22"/>
          <w:szCs w:val="22"/>
        </w:rPr>
        <w:t xml:space="preserve">Only ARM builds are included. Adding x86/x86_64 slices would support emulators for QA/testing but adds APK size. An AAB (Android App Bundle) upload to Play Store handles this automatically.</w:t>
      </w:r>
    </w:p>
    <w:p>
      <w:pPr>
        <w:pStyle w:val="ListParagraph"/>
        <w:numPr>
          <w:ilvl w:val="0"/>
          <w:numId w:val="2"/>
        </w:numPr>
        <w:spacing w:after="80"/>
      </w:pPr>
      <w:r>
        <w:rPr>
          <w:rFonts w:ascii="Arial" w:cs="Arial" w:eastAsia="Arial" w:hAnsi="Arial"/>
          <w:color w:val="1E293B"/>
          <w:sz w:val="22"/>
          <w:szCs w:val="22"/>
        </w:rPr>
        <w:t xml:space="preserve">No production API base URL is embedded in the bundle — this is correct practice. The app likely reads the URL from build config or a .env file at build time.</w:t>
      </w:r>
    </w:p>
    <w:p>
      <w:pPr>
        <w:spacing w:after="80"/>
      </w:pPr>
      <w:r>
        <w:t xml:space="preserve"/>
      </w:r>
    </w:p>
    <w:p>
      <w:pPr>
        <w:pStyle w:val="Heading1"/>
        <w:spacing w:after="160" w:before="360"/>
      </w:pPr>
      <w:r>
        <w:rPr>
          <w:rFonts w:ascii="Arial" w:cs="Arial" w:eastAsia="Arial" w:hAnsi="Arial"/>
          <w:b/>
          <w:bCs/>
          <w:color w:val="0D6D62"/>
          <w:sz w:val="36"/>
          <w:szCs w:val="36"/>
        </w:rPr>
        <w:t xml:space="preserve">3. Feature Inventory &amp; Screen Map</w:t>
      </w:r>
    </w:p>
    <w:p>
      <w:pPr>
        <w:spacing w:after="120"/>
      </w:pPr>
      <w:r>
        <w:rPr>
          <w:rFonts w:ascii="Arial" w:cs="Arial" w:eastAsia="Arial" w:hAnsi="Arial"/>
          <w:color w:val="1E293B"/>
          <w:sz w:val="22"/>
          <w:szCs w:val="22"/>
        </w:rPr>
        <w:t xml:space="preserve">The following screens and features were identified by reverse-engineering the compiled app bundle. Status reflects whether the feature appears to be functionally built, partially stubbed, or flagged as a placeholder.</w:t>
      </w:r>
    </w:p>
    <w:p>
      <w:pPr>
        <w:spacing w:after="80"/>
      </w:pPr>
      <w:r>
        <w:t xml:space="preserve"/>
      </w:r>
    </w:p>
    <w:p>
      <w:pPr>
        <w:pStyle w:val="Heading2"/>
        <w:pBdr>
          <w:bottom w:val="single" w:color="E0F2FE" w:sz="4"/>
        </w:pBdr>
        <w:spacing w:after="120" w:before="280"/>
      </w:pPr>
      <w:r>
        <w:rPr>
          <w:rFonts w:ascii="Arial" w:cs="Arial" w:eastAsia="Arial" w:hAnsi="Arial"/>
          <w:b/>
          <w:bCs/>
          <w:color w:val="1E293B"/>
          <w:sz w:val="28"/>
          <w:szCs w:val="28"/>
        </w:rPr>
        <w:t xml:space="preserve">3.1 Core Navigation &amp;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560"/>
      </w:tblGrid>
      <w:tr>
        <w:trPr>
          <w:tblHeader/>
        </w:trPr>
        <w:tc>
          <w:tcPr>
            <w:tcW w:type="dxa" w:w="280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Feature / Screen</w:t>
            </w:r>
          </w:p>
        </w:tc>
        <w:tc>
          <w:tcPr>
            <w:tcW w:type="dxa" w:w="500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What it does (observed)</w:t>
            </w:r>
          </w:p>
        </w:tc>
        <w:tc>
          <w:tcPr>
            <w:tcW w:type="dxa" w:w="156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Login Screen</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Email + password auth; biometric unlock on subsequent logins; forgot password flow present</w:t>
            </w:r>
          </w:p>
        </w:tc>
        <w:tc>
          <w:tcPr>
            <w:tcW w:type="dxa" w:w="15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Partial</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Registration</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User ID-based registration with email; onboarding health assessment prompt</w:t>
            </w:r>
          </w:p>
        </w:tc>
        <w:tc>
          <w:tcPr>
            <w:tcW w:type="dxa" w:w="15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Partial</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Dashboard (Home)</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Points balance, active opportunities, recent claims, quick actions, encouraging messaging</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Profile Screen</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Personal info, notification preferences, theme toggle (dark/light), account settings</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Bottom Tab Navigation</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Dashboard, Opportunities, Claims, Benefits, Profile tabs</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bl>
    <w:p>
      <w:pPr>
        <w:spacing w:after="80"/>
      </w:pPr>
      <w:r>
        <w:t xml:space="preserve"/>
      </w:r>
    </w:p>
    <w:p>
      <w:pPr>
        <w:pStyle w:val="Heading2"/>
        <w:pBdr>
          <w:bottom w:val="single" w:color="E0F2FE" w:sz="4"/>
        </w:pBdr>
        <w:spacing w:after="120" w:before="280"/>
      </w:pPr>
      <w:r>
        <w:rPr>
          <w:rFonts w:ascii="Arial" w:cs="Arial" w:eastAsia="Arial" w:hAnsi="Arial"/>
          <w:b/>
          <w:bCs/>
          <w:color w:val="1E293B"/>
          <w:sz w:val="28"/>
          <w:szCs w:val="28"/>
        </w:rPr>
        <w:t xml:space="preserve">3.2 Opportunities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560"/>
      </w:tblGrid>
      <w:tr>
        <w:trPr>
          <w:tblHeader/>
        </w:trPr>
        <w:tc>
          <w:tcPr>
            <w:tcW w:type="dxa" w:w="280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Feature / Screen</w:t>
            </w:r>
          </w:p>
        </w:tc>
        <w:tc>
          <w:tcPr>
            <w:tcW w:type="dxa" w:w="500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What it does (observed)</w:t>
            </w:r>
          </w:p>
        </w:tc>
        <w:tc>
          <w:tcPr>
            <w:tcW w:type="dxa" w:w="156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Opportunities Hub</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Browse all opportunities by category: medication, preventive care, mail delivery, upcoming care, specialist</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Medication Savings</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Switch from brand-name to generic equivalent; cost comparison (e.g., Lipitor → Atorvastatin); doctor note flow</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Mail Delivery Pharmacy</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Set up home delivery for prescriptions; 30/90-day supply options; delivery confirmation</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Preventive Care</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Annual physical, flu shot, mammogram, screenings, immunisations — with completion tracking</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Provider Comparison</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Compare current vs. alternative provider on wait time, cost, quality rating, distance</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Upcoming Care Logging</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Manually log planned care events; AI analysis of upcoming care opportunities</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Missed Opportunities</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Review past missed opportunities with explanation of why they were presented</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Opportunity Detail</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Deep-dive screen per opportunity: cost savings, points, how-to steps, share feature</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bl>
    <w:p>
      <w:pPr>
        <w:spacing w:after="80"/>
      </w:pPr>
      <w:r>
        <w:t xml:space="preserve"/>
      </w:r>
    </w:p>
    <w:p>
      <w:pPr>
        <w:pStyle w:val="Heading2"/>
        <w:pBdr>
          <w:bottom w:val="single" w:color="E0F2FE" w:sz="4"/>
        </w:pBdr>
        <w:spacing w:after="120" w:before="280"/>
      </w:pPr>
      <w:r>
        <w:rPr>
          <w:rFonts w:ascii="Arial" w:cs="Arial" w:eastAsia="Arial" w:hAnsi="Arial"/>
          <w:b/>
          <w:bCs/>
          <w:color w:val="1E293B"/>
          <w:sz w:val="28"/>
          <w:szCs w:val="28"/>
        </w:rPr>
        <w:t xml:space="preserve">3.3 Claims &amp;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560"/>
      </w:tblGrid>
      <w:tr>
        <w:trPr>
          <w:tblHeader/>
        </w:trPr>
        <w:tc>
          <w:tcPr>
            <w:tcW w:type="dxa" w:w="280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Feature / Screen</w:t>
            </w:r>
          </w:p>
        </w:tc>
        <w:tc>
          <w:tcPr>
            <w:tcW w:type="dxa" w:w="500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What it does (observed)</w:t>
            </w:r>
          </w:p>
        </w:tc>
        <w:tc>
          <w:tcPr>
            <w:tcW w:type="dxa" w:w="156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Claims History</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List of processed/pending claims by month; search and filter</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Claim Detail</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Per-claim breakdown: billed, insurance paid, patient responsibility, status timeline</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Explanation of Benefits (EOB)</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Full EOB by category; downloadable PDF summary</w:t>
            </w:r>
          </w:p>
        </w:tc>
        <w:tc>
          <w:tcPr>
            <w:tcW w:type="dxa" w:w="15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Partial</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Benefits Explanation</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Plain-language coverage summary: deductible, OOP max, copay tiers, preventive care rules</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Preventive Care Coverage</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Specific preventive services covered at 100% — listed with frequency</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Prescription Drug Coverage</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Tier 1/2/3 copay structure; generic vs. brand-name details</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bl>
    <w:p>
      <w:pPr>
        <w:spacing w:after="80"/>
      </w:pPr>
      <w:r>
        <w:t xml:space="preserve"/>
      </w:r>
    </w:p>
    <w:p>
      <w:pPr>
        <w:pStyle w:val="Heading2"/>
        <w:pBdr>
          <w:bottom w:val="single" w:color="E0F2FE" w:sz="4"/>
        </w:pBdr>
        <w:spacing w:after="120" w:before="280"/>
      </w:pPr>
      <w:r>
        <w:rPr>
          <w:rFonts w:ascii="Arial" w:cs="Arial" w:eastAsia="Arial" w:hAnsi="Arial"/>
          <w:b/>
          <w:bCs/>
          <w:color w:val="1E293B"/>
          <w:sz w:val="28"/>
          <w:szCs w:val="28"/>
        </w:rPr>
        <w:t xml:space="preserve">3.4 Points &amp;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560"/>
      </w:tblGrid>
      <w:tr>
        <w:trPr>
          <w:tblHeader/>
        </w:trPr>
        <w:tc>
          <w:tcPr>
            <w:tcW w:type="dxa" w:w="280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Feature / Screen</w:t>
            </w:r>
          </w:p>
        </w:tc>
        <w:tc>
          <w:tcPr>
            <w:tcW w:type="dxa" w:w="500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What it does (observed)</w:t>
            </w:r>
          </w:p>
        </w:tc>
        <w:tc>
          <w:tcPr>
            <w:tcW w:type="dxa" w:w="156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Points Balance</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Real-time balance display with animated counter; points earned this year</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How to Earn Points</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Explainer screen: 500 pts/month, 300 pts for trying, 10 pts for feedback, etc.</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Points History</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Transaction-level history of earned and redeemed points</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Leaderboard</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Comparative points ranking (shared data feature detected)</w:t>
            </w:r>
          </w:p>
        </w:tc>
        <w:tc>
          <w:tcPr>
            <w:tcW w:type="dxa" w:w="15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Partial</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Redemption Flow</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Multi-step redemption: select type → amount → confirm → scheduled processing</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Redemption Types</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Premium reduction, copay/deductible credit, gift cards, healthcare services</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Redemption Window</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Scheduled redemption windows with countdown timer; 'next window opens' logic</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bl>
    <w:p>
      <w:pPr>
        <w:spacing w:after="80"/>
      </w:pPr>
      <w:r>
        <w:t xml:space="preserve"/>
      </w:r>
    </w:p>
    <w:p>
      <w:pPr>
        <w:pStyle w:val="Heading2"/>
        <w:pBdr>
          <w:bottom w:val="single" w:color="E0F2FE" w:sz="4"/>
        </w:pBdr>
        <w:spacing w:after="120" w:before="280"/>
      </w:pPr>
      <w:r>
        <w:rPr>
          <w:rFonts w:ascii="Arial" w:cs="Arial" w:eastAsia="Arial" w:hAnsi="Arial"/>
          <w:b/>
          <w:bCs/>
          <w:color w:val="1E293B"/>
          <w:sz w:val="28"/>
          <w:szCs w:val="28"/>
        </w:rPr>
        <w:t xml:space="preserve">3.5 Health Records &amp; Clinical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560"/>
      </w:tblGrid>
      <w:tr>
        <w:trPr>
          <w:tblHeader/>
        </w:trPr>
        <w:tc>
          <w:tcPr>
            <w:tcW w:type="dxa" w:w="280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Feature / Screen</w:t>
            </w:r>
          </w:p>
        </w:tc>
        <w:tc>
          <w:tcPr>
            <w:tcW w:type="dxa" w:w="500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What it does (observed)</w:t>
            </w:r>
          </w:p>
        </w:tc>
        <w:tc>
          <w:tcPr>
            <w:tcW w:type="dxa" w:w="156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EMR Login / Access</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Separate EMR login flow with timeline view of health records</w:t>
            </w:r>
          </w:p>
        </w:tc>
        <w:tc>
          <w:tcPr>
            <w:tcW w:type="dxa" w:w="15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Partial</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Health Records Screen</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Structured view of clinical history pulled from EMR</w:t>
            </w:r>
          </w:p>
        </w:tc>
        <w:tc>
          <w:tcPr>
            <w:tcW w:type="dxa" w:w="15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Partial</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Doctor Note Generation</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AI-powered note generation for medication substitution or mail delivery; send via email or directly to doctor</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Upcoming Care Analysis</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AI analysis screen that processes planned care and surfaces savings opportunities</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Patient Satisfaction Survey</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Post-visit survey for primary care and specialist visits; 10-point rating questions</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Specialist Visit Survey</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Separate survey for specialist encounters with provider quality questions</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Appointment Calendar</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Date/time picker for scheduling appointments; provider name/type fields</w:t>
            </w:r>
          </w:p>
        </w:tc>
        <w:tc>
          <w:tcPr>
            <w:tcW w:type="dxa" w:w="15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Partial</w:t>
            </w:r>
          </w:p>
        </w:tc>
      </w:tr>
    </w:tbl>
    <w:p>
      <w:pPr>
        <w:spacing w:after="80"/>
      </w:pPr>
      <w:r>
        <w:t xml:space="preserve"/>
      </w:r>
    </w:p>
    <w:p>
      <w:pPr>
        <w:pStyle w:val="Heading2"/>
        <w:pBdr>
          <w:bottom w:val="single" w:color="E0F2FE" w:sz="4"/>
        </w:pBdr>
        <w:spacing w:after="120" w:before="280"/>
      </w:pPr>
      <w:r>
        <w:rPr>
          <w:rFonts w:ascii="Arial" w:cs="Arial" w:eastAsia="Arial" w:hAnsi="Arial"/>
          <w:b/>
          <w:bCs/>
          <w:color w:val="1E293B"/>
          <w:sz w:val="28"/>
          <w:szCs w:val="28"/>
        </w:rPr>
        <w:t xml:space="preserve">3.6 Supporting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560"/>
      </w:tblGrid>
      <w:tr>
        <w:trPr>
          <w:tblHeader/>
        </w:trPr>
        <w:tc>
          <w:tcPr>
            <w:tcW w:type="dxa" w:w="280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Feature / Screen</w:t>
            </w:r>
          </w:p>
        </w:tc>
        <w:tc>
          <w:tcPr>
            <w:tcW w:type="dxa" w:w="500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What it does (observed)</w:t>
            </w:r>
          </w:p>
        </w:tc>
        <w:tc>
          <w:tcPr>
            <w:tcW w:type="dxa" w:w="156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Dark / Light Theme</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User-selectable theme with persisted preference via expo-secure-store</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Notifications</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Local notification scheduling for care reminders; push notification infrastructure</w:t>
            </w:r>
          </w:p>
        </w:tc>
        <w:tc>
          <w:tcPr>
            <w:tcW w:type="dxa" w:w="15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Partial</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Share Content</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Native share sheet for opportunities, achievements, referrals</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Built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Offline / Cache</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Fallback to cached data; loading skeletons present throughout</w:t>
            </w:r>
          </w:p>
        </w:tc>
        <w:tc>
          <w:tcPr>
            <w:tcW w:type="dxa" w:w="15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Partial</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PDF Download</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Download claim summaries and EOB to device</w:t>
            </w:r>
          </w:p>
        </w:tc>
        <w:tc>
          <w:tcPr>
            <w:tcW w:type="dxa" w:w="15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Partial</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Onboarding Survey</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Health assessment to personalise opportunity recommendations</w:t>
            </w:r>
          </w:p>
        </w:tc>
        <w:tc>
          <w:tcPr>
            <w:tcW w:type="dxa" w:w="15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Partial</w:t>
            </w:r>
          </w:p>
        </w:tc>
      </w:tr>
    </w:tbl>
    <w:p>
      <w:pPr>
        <w:spacing w:after="80"/>
      </w:pPr>
      <w:r>
        <w:t xml:space="preserve"/>
      </w:r>
    </w:p>
    <w:p>
      <w:pPr>
        <w:pStyle w:val="Heading1"/>
        <w:spacing w:after="160" w:before="360"/>
      </w:pPr>
      <w:r>
        <w:rPr>
          <w:rFonts w:ascii="Arial" w:cs="Arial" w:eastAsia="Arial" w:hAnsi="Arial"/>
          <w:b/>
          <w:bCs/>
          <w:color w:val="0D6D62"/>
          <w:sz w:val="36"/>
          <w:szCs w:val="36"/>
        </w:rPr>
        <w:t xml:space="preserve">4. Product &amp; UX Assessment</w:t>
      </w:r>
    </w:p>
    <w:p>
      <w:pPr>
        <w:pStyle w:val="Heading2"/>
        <w:pBdr>
          <w:bottom w:val="single" w:color="E0F2FE" w:sz="4"/>
        </w:pBdr>
        <w:spacing w:after="120" w:before="280"/>
      </w:pPr>
      <w:r>
        <w:rPr>
          <w:rFonts w:ascii="Arial" w:cs="Arial" w:eastAsia="Arial" w:hAnsi="Arial"/>
          <w:b/>
          <w:bCs/>
          <w:color w:val="1E293B"/>
          <w:sz w:val="28"/>
          <w:szCs w:val="28"/>
        </w:rPr>
        <w:t xml:space="preserve">4.1 What is Working Well</w:t>
      </w:r>
    </w:p>
    <w:p>
      <w:pPr>
        <w:pStyle w:val="ListParagraph"/>
        <w:numPr>
          <w:ilvl w:val="0"/>
          <w:numId w:val="2"/>
        </w:numPr>
        <w:spacing w:after="80"/>
      </w:pPr>
      <w:r>
        <w:rPr>
          <w:rFonts w:ascii="Arial" w:cs="Arial" w:eastAsia="Arial" w:hAnsi="Arial"/>
          <w:color w:val="1E293B"/>
          <w:sz w:val="22"/>
          <w:szCs w:val="22"/>
        </w:rPr>
        <w:t xml:space="preserve">Points economy is well thought-out. Multiple earn vectors (completing actions, surveys, feedback, monthly engagement) and meaningful redemption options (reducing real healthcare costs) create a credible reward loop.</w:t>
      </w:r>
    </w:p>
    <w:p>
      <w:pPr>
        <w:pStyle w:val="ListParagraph"/>
        <w:numPr>
          <w:ilvl w:val="0"/>
          <w:numId w:val="2"/>
        </w:numPr>
        <w:spacing w:after="80"/>
      </w:pPr>
      <w:r>
        <w:rPr>
          <w:rFonts w:ascii="Arial" w:cs="Arial" w:eastAsia="Arial" w:hAnsi="Arial"/>
          <w:color w:val="1E293B"/>
          <w:sz w:val="22"/>
          <w:szCs w:val="22"/>
        </w:rPr>
        <w:t xml:space="preserve">Opportunity framing is excellent. Each opportunity clearly states the savings amount, points earnable, and specific next steps. The 'why it was recommended for you' personalisation messaging is a strong UX detail.</w:t>
      </w:r>
    </w:p>
    <w:p>
      <w:pPr>
        <w:pStyle w:val="ListParagraph"/>
        <w:numPr>
          <w:ilvl w:val="0"/>
          <w:numId w:val="2"/>
        </w:numPr>
        <w:spacing w:after="80"/>
      </w:pPr>
      <w:r>
        <w:rPr>
          <w:rFonts w:ascii="Arial" w:cs="Arial" w:eastAsia="Arial" w:hAnsi="Arial"/>
          <w:color w:val="1E293B"/>
          <w:sz w:val="22"/>
          <w:szCs w:val="22"/>
        </w:rPr>
        <w:t xml:space="preserve">Claims visibility is a real member pain point that this app addresses head-on. The claim timeline and EOB simplification features are genuinely useful.</w:t>
      </w:r>
    </w:p>
    <w:p>
      <w:pPr>
        <w:pStyle w:val="ListParagraph"/>
        <w:numPr>
          <w:ilvl w:val="0"/>
          <w:numId w:val="2"/>
        </w:numPr>
        <w:spacing w:after="80"/>
      </w:pPr>
      <w:r>
        <w:rPr>
          <w:rFonts w:ascii="Arial" w:cs="Arial" w:eastAsia="Arial" w:hAnsi="Arial"/>
          <w:color w:val="1E293B"/>
          <w:sz w:val="22"/>
          <w:szCs w:val="22"/>
        </w:rPr>
        <w:t xml:space="preserve">Doctor note generation is a bold, differentiated feature. Automating the prior-authorisation and medication-substitution communication with the physician is a significant workflow innovation.</w:t>
      </w:r>
    </w:p>
    <w:p>
      <w:pPr>
        <w:pStyle w:val="ListParagraph"/>
        <w:numPr>
          <w:ilvl w:val="0"/>
          <w:numId w:val="2"/>
        </w:numPr>
        <w:spacing w:after="80"/>
      </w:pPr>
      <w:r>
        <w:rPr>
          <w:rFonts w:ascii="Arial" w:cs="Arial" w:eastAsia="Arial" w:hAnsi="Arial"/>
          <w:color w:val="1E293B"/>
          <w:sz w:val="22"/>
          <w:szCs w:val="22"/>
        </w:rPr>
        <w:t xml:space="preserve">Redemption window design (scheduled processing with countdown) sets correct expectations and avoids on-demand redemption complexity — smart for v1.</w:t>
      </w:r>
    </w:p>
    <w:p>
      <w:pPr>
        <w:pStyle w:val="ListParagraph"/>
        <w:numPr>
          <w:ilvl w:val="0"/>
          <w:numId w:val="2"/>
        </w:numPr>
        <w:spacing w:after="80"/>
      </w:pPr>
      <w:r>
        <w:rPr>
          <w:rFonts w:ascii="Arial" w:cs="Arial" w:eastAsia="Arial" w:hAnsi="Arial"/>
          <w:color w:val="1E293B"/>
          <w:sz w:val="22"/>
          <w:szCs w:val="22"/>
        </w:rPr>
        <w:t xml:space="preserve">Dark/light theme and biometric authentication show solid baseline UX hygiene.</w:t>
      </w:r>
    </w:p>
    <w:p>
      <w:pPr>
        <w:spacing w:after="80"/>
      </w:pPr>
      <w:r>
        <w:t xml:space="preserve"/>
      </w:r>
    </w:p>
    <w:p>
      <w:pPr>
        <w:pStyle w:val="Heading2"/>
        <w:pBdr>
          <w:bottom w:val="single" w:color="E0F2FE" w:sz="4"/>
        </w:pBdr>
        <w:spacing w:after="120" w:before="280"/>
      </w:pPr>
      <w:r>
        <w:rPr>
          <w:rFonts w:ascii="Arial" w:cs="Arial" w:eastAsia="Arial" w:hAnsi="Arial"/>
          <w:b/>
          <w:bCs/>
          <w:color w:val="1E293B"/>
          <w:sz w:val="28"/>
          <w:szCs w:val="28"/>
        </w:rPr>
        <w:t xml:space="preserve">4.2 UX Gaps &amp; Issues</w:t>
      </w:r>
    </w:p>
    <w:p>
      <w:pPr>
        <w:pStyle w:val="ListParagraph"/>
        <w:numPr>
          <w:ilvl w:val="0"/>
          <w:numId w:val="2"/>
        </w:numPr>
        <w:spacing w:after="80"/>
      </w:pPr>
      <w:r>
        <w:rPr>
          <w:rFonts w:ascii="Arial" w:cs="Arial" w:eastAsia="Arial" w:hAnsi="Arial"/>
          <w:color w:val="1E293B"/>
          <w:sz w:val="22"/>
          <w:szCs w:val="22"/>
        </w:rPr>
        <w:t xml:space="preserve">Mock data is baked into the bundle. Real names (Dr. Sarah Johnson, Michael Johnson), real-looking addresses (123 Main St), fake claim numbers (CLM-2025-001234), and fictional provider names (Kaiser Permanente MD, H+H Jacobi Hospital) are present as string literals. These must be replaced with proper API-driven data before any user-facing demo or pilot.</w:t>
      </w:r>
    </w:p>
    <w:p>
      <w:pPr>
        <w:pStyle w:val="ListParagraph"/>
        <w:numPr>
          <w:ilvl w:val="0"/>
          <w:numId w:val="2"/>
        </w:numPr>
        <w:spacing w:after="80"/>
      </w:pPr>
      <w:r>
        <w:rPr>
          <w:rFonts w:ascii="Arial" w:cs="Arial" w:eastAsia="Arial" w:hAnsi="Arial"/>
          <w:color w:val="1E293B"/>
          <w:sz w:val="22"/>
          <w:szCs w:val="22"/>
        </w:rPr>
        <w:t xml:space="preserve">Login is described in bundle strings as: 'creation functionality would be implemented here. For now, you can use any email and password combination to login.' This means auth is mocked. A real auth backend must be integrated before any user testing.</w:t>
      </w:r>
    </w:p>
    <w:p>
      <w:pPr>
        <w:pStyle w:val="ListParagraph"/>
        <w:numPr>
          <w:ilvl w:val="0"/>
          <w:numId w:val="2"/>
        </w:numPr>
        <w:spacing w:after="80"/>
      </w:pPr>
      <w:r>
        <w:rPr>
          <w:rFonts w:ascii="Arial" w:cs="Arial" w:eastAsia="Arial" w:hAnsi="Arial"/>
          <w:color w:val="1E293B"/>
          <w:sz w:val="22"/>
          <w:szCs w:val="22"/>
        </w:rPr>
        <w:t xml:space="preserve">The EMR integration is marked partial. The app references EMR access prominently, but the actual connection flow is incomplete. This is likely the single biggest dependency for the product to deliver its core value.</w:t>
      </w:r>
    </w:p>
    <w:p>
      <w:pPr>
        <w:pStyle w:val="ListParagraph"/>
        <w:numPr>
          <w:ilvl w:val="0"/>
          <w:numId w:val="2"/>
        </w:numPr>
        <w:spacing w:after="80"/>
      </w:pPr>
      <w:r>
        <w:rPr>
          <w:rFonts w:ascii="Arial" w:cs="Arial" w:eastAsia="Arial" w:hAnsi="Arial"/>
          <w:color w:val="1E293B"/>
          <w:sz w:val="22"/>
          <w:szCs w:val="22"/>
        </w:rPr>
        <w:t xml:space="preserve">Notification system is partially implemented. Local notifications are referenced but there is no evidence of a configured push notification backend (FCM/APNs) in the current build.</w:t>
      </w:r>
    </w:p>
    <w:p>
      <w:pPr>
        <w:pStyle w:val="ListParagraph"/>
        <w:numPr>
          <w:ilvl w:val="0"/>
          <w:numId w:val="2"/>
        </w:numPr>
        <w:spacing w:after="80"/>
      </w:pPr>
      <w:r>
        <w:rPr>
          <w:rFonts w:ascii="Arial" w:cs="Arial" w:eastAsia="Arial" w:hAnsi="Arial"/>
          <w:color w:val="1E293B"/>
          <w:sz w:val="22"/>
          <w:szCs w:val="22"/>
        </w:rPr>
        <w:t xml:space="preserve">The app is portrait-only. For a data-heavy app with claims tables and benefit breakdowns, landscape support — particularly on tablets — would improve readability.</w:t>
      </w:r>
    </w:p>
    <w:p>
      <w:pPr>
        <w:pStyle w:val="ListParagraph"/>
        <w:numPr>
          <w:ilvl w:val="0"/>
          <w:numId w:val="2"/>
        </w:numPr>
        <w:spacing w:after="80"/>
      </w:pPr>
      <w:r>
        <w:rPr>
          <w:rFonts w:ascii="Arial" w:cs="Arial" w:eastAsia="Arial" w:hAnsi="Arial"/>
          <w:color w:val="1E293B"/>
          <w:sz w:val="22"/>
          <w:szCs w:val="22"/>
        </w:rPr>
        <w:t xml:space="preserve">No offline-first architecture. The app gracefully handles loading states but does not appear to have a robust local cache or sync layer. Healthcare data is sensitive and connectivity-dependent UX is a concern.</w:t>
      </w:r>
    </w:p>
    <w:p>
      <w:pPr>
        <w:spacing w:after="80"/>
      </w:pPr>
      <w:r>
        <w:t xml:space="preserve"/>
      </w:r>
    </w:p>
    <w:p>
      <w:pPr>
        <w:pStyle w:val="Heading1"/>
        <w:spacing w:after="160" w:before="360"/>
      </w:pPr>
      <w:r>
        <w:rPr>
          <w:rFonts w:ascii="Arial" w:cs="Arial" w:eastAsia="Arial" w:hAnsi="Arial"/>
          <w:b/>
          <w:bCs/>
          <w:color w:val="0D6D62"/>
          <w:sz w:val="36"/>
          <w:szCs w:val="36"/>
        </w:rPr>
        <w:t xml:space="preserve">5. Security, Privacy &amp; Compliance</w:t>
      </w:r>
    </w:p>
    <w:p>
      <w:pPr>
        <w:pStyle w:val="Heading2"/>
        <w:pBdr>
          <w:bottom w:val="single" w:color="E0F2FE" w:sz="4"/>
        </w:pBdr>
        <w:spacing w:after="120" w:before="280"/>
      </w:pPr>
      <w:r>
        <w:rPr>
          <w:rFonts w:ascii="Arial" w:cs="Arial" w:eastAsia="Arial" w:hAnsi="Arial"/>
          <w:b/>
          <w:bCs/>
          <w:color w:val="1E293B"/>
          <w:sz w:val="28"/>
          <w:szCs w:val="28"/>
        </w:rPr>
        <w:t xml:space="preserve">5.1 Permission Audit</w:t>
      </w:r>
    </w:p>
    <w:p>
      <w:pPr>
        <w:spacing w:after="120"/>
      </w:pPr>
      <w:r>
        <w:rPr>
          <w:rFonts w:ascii="Arial" w:cs="Arial" w:eastAsia="Arial" w:hAnsi="Arial"/>
          <w:color w:val="1E293B"/>
          <w:sz w:val="22"/>
          <w:szCs w:val="22"/>
        </w:rPr>
        <w:t xml:space="preserve">The app requests a very broad set of Android permissions. Several of these appear to come from React Native library defaults rather than intentional product requirements. Each permission below should be reviewed and removed if not actively used: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Permission</w:t>
            </w:r>
          </w:p>
        </w:tc>
        <w:tc>
          <w:tcPr>
            <w:tcW w:type="dxa" w:w="240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336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Recommendation</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USE_BIOMETRIC / USE_FINGERPRINT</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Low — expected</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Keep — required for biometric auth</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POST_NOTIFICATIONS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Low — expected</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Keep — required for reminders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CAMERA</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Only if user uploads documents/photos — confirm use case</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READ_SMS / RECEIVE_SMS / SEND_SMS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Remove unless OTP-based auth — justify or remove</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READ_CONTACTS / WRITE_CONTACTS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Remove — no identified use case in app</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READ/WRITE_CALL_LOG</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Remove — no telephony features in app</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ACCESS_FINE/COARSE_LOCATION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Only if pharmacy/provider finder uses device location — confirm</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RECORD_AUDIO</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Remove unless voice input feature is planned</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READ_EXTERNAL_STORAGE</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Low–Med</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Needed for PDF downloads on older Android — audit carefully</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PROCESS_OUTGOING_CALLS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Remove — no call management features present</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BLUETOOTH_*</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Remove unless wearable integration is planned</w:t>
            </w:r>
          </w:p>
        </w:tc>
      </w:tr>
    </w:tbl>
    <w:p>
      <w:pPr>
        <w:spacing w:after="80"/>
      </w:pPr>
      <w:r>
        <w:t xml:space="preserve"/>
      </w:r>
    </w:p>
    <w:p>
      <w:pPr>
        <w:pStyle w:val="Heading2"/>
        <w:pBdr>
          <w:bottom w:val="single" w:color="E0F2FE" w:sz="4"/>
        </w:pBdr>
        <w:spacing w:after="120" w:before="280"/>
      </w:pPr>
      <w:r>
        <w:rPr>
          <w:rFonts w:ascii="Arial" w:cs="Arial" w:eastAsia="Arial" w:hAnsi="Arial"/>
          <w:b/>
          <w:bCs/>
          <w:color w:val="1E293B"/>
          <w:sz w:val="28"/>
          <w:szCs w:val="28"/>
        </w:rPr>
        <w:t xml:space="preserve">5.2 HIPAA &amp; Healthcare Data Compliance</w:t>
      </w:r>
    </w:p>
    <w:p>
      <w:pPr>
        <w:pStyle w:val="ListParagraph"/>
        <w:numPr>
          <w:ilvl w:val="0"/>
          <w:numId w:val="2"/>
        </w:numPr>
        <w:spacing w:after="80"/>
      </w:pPr>
      <w:r>
        <w:rPr>
          <w:rFonts w:ascii="Arial" w:cs="Arial" w:eastAsia="Arial" w:hAnsi="Arial"/>
          <w:color w:val="1E293B"/>
          <w:sz w:val="22"/>
          <w:szCs w:val="22"/>
        </w:rPr>
        <w:t xml:space="preserve">Any app that stores, transmits, or displays Protected Health Information (PHI) — including claims data, diagnosis codes, prescription details — is subject to HIPAA. Confirm whether a Business Associate Agreement (BAA) exists with the backend/API provider.</w:t>
      </w:r>
    </w:p>
    <w:p>
      <w:pPr>
        <w:pStyle w:val="ListParagraph"/>
        <w:numPr>
          <w:ilvl w:val="0"/>
          <w:numId w:val="2"/>
        </w:numPr>
        <w:spacing w:after="80"/>
      </w:pPr>
      <w:r>
        <w:rPr>
          <w:rFonts w:ascii="Arial" w:cs="Arial" w:eastAsia="Arial" w:hAnsi="Arial"/>
          <w:color w:val="1E293B"/>
          <w:sz w:val="22"/>
          <w:szCs w:val="22"/>
        </w:rPr>
        <w:t xml:space="preserve">The expo-secure-store library encrypts data at rest on-device using the Android Keystore. This is a good baseline. Confirm that no PHI is written to unencrypted local storage or logs.</w:t>
      </w:r>
    </w:p>
    <w:p>
      <w:pPr>
        <w:pStyle w:val="ListParagraph"/>
        <w:numPr>
          <w:ilvl w:val="0"/>
          <w:numId w:val="2"/>
        </w:numPr>
        <w:spacing w:after="80"/>
      </w:pPr>
      <w:r>
        <w:rPr>
          <w:rFonts w:ascii="Arial" w:cs="Arial" w:eastAsia="Arial" w:hAnsi="Arial"/>
          <w:color w:val="1E293B"/>
          <w:sz w:val="22"/>
          <w:szCs w:val="22"/>
        </w:rPr>
        <w:t xml:space="preserve">Doctor note generation sends clinical content to an AI backend. This data pathway requires explicit HIPAA review and likely a BAA with the AI provider.</w:t>
      </w:r>
    </w:p>
    <w:p>
      <w:pPr>
        <w:pStyle w:val="ListParagraph"/>
        <w:numPr>
          <w:ilvl w:val="0"/>
          <w:numId w:val="2"/>
        </w:numPr>
        <w:spacing w:after="80"/>
      </w:pPr>
      <w:r>
        <w:rPr>
          <w:rFonts w:ascii="Arial" w:cs="Arial" w:eastAsia="Arial" w:hAnsi="Arial"/>
          <w:color w:val="1E293B"/>
          <w:sz w:val="22"/>
          <w:szCs w:val="22"/>
        </w:rPr>
        <w:t xml:space="preserve">EMR integration (HL7 FHIR or proprietary API) is a highly regulated data exchange. Confirm that the API meets HIPAA transaction standards and that patient consent flows are implemented.</w:t>
      </w:r>
    </w:p>
    <w:p>
      <w:pPr>
        <w:pStyle w:val="ListParagraph"/>
        <w:numPr>
          <w:ilvl w:val="0"/>
          <w:numId w:val="2"/>
        </w:numPr>
        <w:spacing w:after="80"/>
      </w:pPr>
      <w:r>
        <w:rPr>
          <w:rFonts w:ascii="Arial" w:cs="Arial" w:eastAsia="Arial" w:hAnsi="Arial"/>
          <w:color w:val="1E293B"/>
          <w:sz w:val="22"/>
          <w:szCs w:val="22"/>
        </w:rPr>
        <w:t xml:space="preserve">No certificate pinning was detected in the build configuration. Consider adding this to prevent man-in-the-middle attacks on the healthcare API.</w:t>
      </w:r>
    </w:p>
    <w:p>
      <w:pPr>
        <w:spacing w:after="80"/>
      </w:pPr>
      <w:r>
        <w:t xml:space="preserve"/>
      </w:r>
    </w:p>
    <w:p>
      <w:pPr>
        <w:pStyle w:val="Heading1"/>
        <w:spacing w:after="160" w:before="360"/>
      </w:pPr>
      <w:r>
        <w:rPr>
          <w:rFonts w:ascii="Arial" w:cs="Arial" w:eastAsia="Arial" w:hAnsi="Arial"/>
          <w:b/>
          <w:bCs/>
          <w:color w:val="0D6D62"/>
          <w:sz w:val="36"/>
          <w:szCs w:val="36"/>
        </w:rPr>
        <w:t xml:space="preserve">6. Recommended Roadmap</w:t>
      </w:r>
    </w:p>
    <w:p>
      <w:pPr>
        <w:spacing w:after="120"/>
      </w:pPr>
      <w:r>
        <w:rPr>
          <w:rFonts w:ascii="Arial" w:cs="Arial" w:eastAsia="Arial" w:hAnsi="Arial"/>
          <w:color w:val="1E293B"/>
          <w:sz w:val="22"/>
          <w:szCs w:val="22"/>
        </w:rPr>
        <w:t xml:space="preserve">Prioritised by impact and sequence dependency. P0 = launch blockers; P1 = high-value pre-launch; P2 = post-launch near-term; P3 = longer-term growth.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060"/>
        <w:gridCol w:w="1200"/>
      </w:tblGrid>
      <w:tr>
        <w:tc>
          <w:tcPr>
            <w:tcW w:type="dxa" w:w="90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Pri</w:t>
            </w:r>
          </w:p>
        </w:tc>
        <w:tc>
          <w:tcPr>
            <w:tcW w:type="dxa" w:w="320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406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Why / What to do</w:t>
            </w:r>
          </w:p>
        </w:tc>
        <w:tc>
          <w:tcPr>
            <w:tcW w:type="dxa" w:w="1200"/>
            <w:tcBorders>
              <w:top w:val="single" w:color="E2E8F0" w:sz="1"/>
              <w:left w:val="single" w:color="E2E8F0" w:sz="1"/>
              <w:bottom w:val="single" w:color="E2E8F0" w:sz="1"/>
              <w:right w:val="single" w:color="E2E8F0" w:sz="1"/>
            </w:tcBorders>
            <w:shd w:fill="0D6D62" w:val="clear"/>
            <w:tcMar>
              <w:top w:type="dxa" w:w="100"/>
              <w:left w:type="dxa" w:w="140"/>
              <w:bottom w:type="dxa" w:w="100"/>
              <w:right w:type="dxa" w:w="140"/>
            </w:tcMar>
          </w:tcPr>
          <w:p>
            <w:r>
              <w:rPr>
                <w:rFonts w:ascii="Arial" w:cs="Arial" w:eastAsia="Arial" w:hAnsi="Arial"/>
                <w:b/>
                <w:bCs/>
                <w:color w:val="FFFFFF"/>
                <w:sz w:val="20"/>
                <w:szCs w:val="20"/>
              </w:rPr>
              <w:t xml:space="preserve">Effort</w:t>
            </w:r>
          </w:p>
        </w:tc>
      </w:tr>
      <w:tr>
        <w:tc>
          <w:tcPr>
            <w:tcW w:type="dxa" w:w="900"/>
            <w:tcBorders>
              <w:top w:val="single" w:color="E2E8F0" w:sz="1"/>
              <w:left w:val="single" w:color="E2E8F0" w:sz="1"/>
              <w:bottom w:val="single" w:color="E2E8F0" w:sz="1"/>
              <w:right w:val="single" w:color="E2E8F0" w:sz="1"/>
            </w:tcBorders>
            <w:shd w:fill="FEE2E2" w:val="clear"/>
            <w:tcMar>
              <w:top w:type="dxa" w:w="80"/>
              <w:left w:type="dxa" w:w="100"/>
              <w:bottom w:type="dxa" w:w="80"/>
              <w:right w:type="dxa" w:w="100"/>
            </w:tcMar>
            <w:vAlign w:val="center"/>
          </w:tcPr>
          <w:p>
            <w:pPr>
              <w:jc w:val="center"/>
            </w:pPr>
            <w:r>
              <w:rPr>
                <w:rFonts w:ascii="Arial" w:cs="Arial" w:eastAsia="Arial" w:hAnsi="Arial"/>
                <w:b/>
                <w:bCs/>
                <w:color w:val="991B1B"/>
                <w:sz w:val="20"/>
                <w:szCs w:val="20"/>
              </w:rPr>
              <w:t xml:space="preserve">P0</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Replace all mock/hardcoded data</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Fake names, addresses, claim numbers, and provider data are baked into the bundle. All data must come from the API before any user-facing use.</w:t>
            </w:r>
          </w:p>
        </w:tc>
        <w:tc>
          <w:tcPr>
            <w:tcW w:type="dxa" w:w="1200"/>
            <w:tcBorders>
              <w:top w:val="single" w:color="E2E8F0" w:sz="1"/>
              <w:left w:val="single" w:color="E2E8F0" w:sz="1"/>
              <w:bottom w:val="single" w:color="E2E8F0" w:sz="1"/>
              <w:right w:val="single" w:color="E2E8F0" w:sz="1"/>
            </w:tcBorders>
            <w:tcMar>
              <w:top w:type="dxa" w:w="80"/>
              <w:left w:type="dxa" w:w="100"/>
              <w:bottom w:type="dxa" w:w="80"/>
              <w:right w:type="dxa" w:w="100"/>
            </w:tcMar>
            <w:vAlign w:val="center"/>
          </w:tcPr>
          <w:p>
            <w:pPr>
              <w:jc w:val="center"/>
            </w:pPr>
            <w:r>
              <w:rPr>
                <w:rFonts w:ascii="Arial" w:cs="Arial" w:eastAsia="Arial" w:hAnsi="Arial"/>
                <w:color w:val="64748B"/>
                <w:sz w:val="20"/>
                <w:szCs w:val="20"/>
              </w:rPr>
              <w:t xml:space="preserve">Large</w:t>
            </w:r>
          </w:p>
        </w:tc>
      </w:tr>
      <w:tr>
        <w:tc>
          <w:tcPr>
            <w:tcW w:type="dxa" w:w="900"/>
            <w:tcBorders>
              <w:top w:val="single" w:color="E2E8F0" w:sz="1"/>
              <w:left w:val="single" w:color="E2E8F0" w:sz="1"/>
              <w:bottom w:val="single" w:color="E2E8F0" w:sz="1"/>
              <w:right w:val="single" w:color="E2E8F0" w:sz="1"/>
            </w:tcBorders>
            <w:shd w:fill="FEE2E2" w:val="clear"/>
            <w:tcMar>
              <w:top w:type="dxa" w:w="80"/>
              <w:left w:type="dxa" w:w="100"/>
              <w:bottom w:type="dxa" w:w="80"/>
              <w:right w:type="dxa" w:w="100"/>
            </w:tcMar>
            <w:vAlign w:val="center"/>
          </w:tcPr>
          <w:p>
            <w:pPr>
              <w:jc w:val="center"/>
            </w:pPr>
            <w:r>
              <w:rPr>
                <w:rFonts w:ascii="Arial" w:cs="Arial" w:eastAsia="Arial" w:hAnsi="Arial"/>
                <w:b/>
                <w:bCs/>
                <w:color w:val="991B1B"/>
                <w:sz w:val="20"/>
                <w:szCs w:val="20"/>
              </w:rPr>
              <w:t xml:space="preserve">P0</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Implement real authentication backend</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Auth is currently mocked ('any email/password works'). Needs proper auth service (Auth0, Cognito, or custom) with secure token management.</w:t>
            </w:r>
          </w:p>
        </w:tc>
        <w:tc>
          <w:tcPr>
            <w:tcW w:type="dxa" w:w="1200"/>
            <w:tcBorders>
              <w:top w:val="single" w:color="E2E8F0" w:sz="1"/>
              <w:left w:val="single" w:color="E2E8F0" w:sz="1"/>
              <w:bottom w:val="single" w:color="E2E8F0" w:sz="1"/>
              <w:right w:val="single" w:color="E2E8F0" w:sz="1"/>
            </w:tcBorders>
            <w:tcMar>
              <w:top w:type="dxa" w:w="80"/>
              <w:left w:type="dxa" w:w="100"/>
              <w:bottom w:type="dxa" w:w="80"/>
              <w:right w:type="dxa" w:w="100"/>
            </w:tcMar>
            <w:vAlign w:val="center"/>
          </w:tcPr>
          <w:p>
            <w:pPr>
              <w:jc w:val="center"/>
            </w:pPr>
            <w:r>
              <w:rPr>
                <w:rFonts w:ascii="Arial" w:cs="Arial" w:eastAsia="Arial" w:hAnsi="Arial"/>
                <w:color w:val="64748B"/>
                <w:sz w:val="20"/>
                <w:szCs w:val="20"/>
              </w:rPr>
              <w:t xml:space="preserve">Large</w:t>
            </w:r>
          </w:p>
        </w:tc>
      </w:tr>
      <w:tr>
        <w:tc>
          <w:tcPr>
            <w:tcW w:type="dxa" w:w="900"/>
            <w:tcBorders>
              <w:top w:val="single" w:color="E2E8F0" w:sz="1"/>
              <w:left w:val="single" w:color="E2E8F0" w:sz="1"/>
              <w:bottom w:val="single" w:color="E2E8F0" w:sz="1"/>
              <w:right w:val="single" w:color="E2E8F0" w:sz="1"/>
            </w:tcBorders>
            <w:shd w:fill="FEE2E2" w:val="clear"/>
            <w:tcMar>
              <w:top w:type="dxa" w:w="80"/>
              <w:left w:type="dxa" w:w="100"/>
              <w:bottom w:type="dxa" w:w="80"/>
              <w:right w:type="dxa" w:w="100"/>
            </w:tcMar>
            <w:vAlign w:val="center"/>
          </w:tcPr>
          <w:p>
            <w:pPr>
              <w:jc w:val="center"/>
            </w:pPr>
            <w:r>
              <w:rPr>
                <w:rFonts w:ascii="Arial" w:cs="Arial" w:eastAsia="Arial" w:hAnsi="Arial"/>
                <w:b/>
                <w:bCs/>
                <w:color w:val="991B1B"/>
                <w:sz w:val="20"/>
                <w:szCs w:val="20"/>
              </w:rPr>
              <w:t xml:space="preserve">P0</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Connect to live claims/benefits API</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The core app value depends on real claims and benefits data. Without the insurer data feed, the app is a prototype.</w:t>
            </w:r>
          </w:p>
        </w:tc>
        <w:tc>
          <w:tcPr>
            <w:tcW w:type="dxa" w:w="1200"/>
            <w:tcBorders>
              <w:top w:val="single" w:color="E2E8F0" w:sz="1"/>
              <w:left w:val="single" w:color="E2E8F0" w:sz="1"/>
              <w:bottom w:val="single" w:color="E2E8F0" w:sz="1"/>
              <w:right w:val="single" w:color="E2E8F0" w:sz="1"/>
            </w:tcBorders>
            <w:tcMar>
              <w:top w:type="dxa" w:w="80"/>
              <w:left w:type="dxa" w:w="100"/>
              <w:bottom w:type="dxa" w:w="80"/>
              <w:right w:type="dxa" w:w="100"/>
            </w:tcMar>
            <w:vAlign w:val="center"/>
          </w:tcPr>
          <w:p>
            <w:pPr>
              <w:jc w:val="center"/>
            </w:pPr>
            <w:r>
              <w:rPr>
                <w:rFonts w:ascii="Arial" w:cs="Arial" w:eastAsia="Arial" w:hAnsi="Arial"/>
                <w:color w:val="64748B"/>
                <w:sz w:val="20"/>
                <w:szCs w:val="20"/>
              </w:rPr>
              <w:t xml:space="preserve">X-Large</w:t>
            </w:r>
          </w:p>
        </w:tc>
      </w:tr>
      <w:tr>
        <w:tc>
          <w:tcPr>
            <w:tcW w:type="dxa" w:w="900"/>
            <w:tcBorders>
              <w:top w:val="single" w:color="E2E8F0" w:sz="1"/>
              <w:left w:val="single" w:color="E2E8F0" w:sz="1"/>
              <w:bottom w:val="single" w:color="E2E8F0" w:sz="1"/>
              <w:right w:val="single" w:color="E2E8F0" w:sz="1"/>
            </w:tcBorders>
            <w:shd w:fill="FEE2E2" w:val="clear"/>
            <w:tcMar>
              <w:top w:type="dxa" w:w="80"/>
              <w:left w:type="dxa" w:w="100"/>
              <w:bottom w:type="dxa" w:w="80"/>
              <w:right w:type="dxa" w:w="100"/>
            </w:tcMar>
            <w:vAlign w:val="center"/>
          </w:tcPr>
          <w:p>
            <w:pPr>
              <w:jc w:val="center"/>
            </w:pPr>
            <w:r>
              <w:rPr>
                <w:rFonts w:ascii="Arial" w:cs="Arial" w:eastAsia="Arial" w:hAnsi="Arial"/>
                <w:b/>
                <w:bCs/>
                <w:color w:val="991B1B"/>
                <w:sz w:val="20"/>
                <w:szCs w:val="20"/>
              </w:rPr>
              <w:t xml:space="preserve">P0</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HIPAA compliance review</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Before any real patient data is handled: BAA with API providers, data encryption audit, access logging.</w:t>
            </w:r>
          </w:p>
        </w:tc>
        <w:tc>
          <w:tcPr>
            <w:tcW w:type="dxa" w:w="1200"/>
            <w:tcBorders>
              <w:top w:val="single" w:color="E2E8F0" w:sz="1"/>
              <w:left w:val="single" w:color="E2E8F0" w:sz="1"/>
              <w:bottom w:val="single" w:color="E2E8F0" w:sz="1"/>
              <w:right w:val="single" w:color="E2E8F0" w:sz="1"/>
            </w:tcBorders>
            <w:tcMar>
              <w:top w:type="dxa" w:w="80"/>
              <w:left w:type="dxa" w:w="100"/>
              <w:bottom w:type="dxa" w:w="80"/>
              <w:right w:type="dxa" w:w="100"/>
            </w:tcMar>
            <w:vAlign w:val="center"/>
          </w:tcPr>
          <w:p>
            <w:pPr>
              <w:jc w:val="center"/>
            </w:pPr>
            <w:r>
              <w:rPr>
                <w:rFonts w:ascii="Arial" w:cs="Arial" w:eastAsia="Arial" w:hAnsi="Arial"/>
                <w:color w:val="64748B"/>
                <w:sz w:val="20"/>
                <w:szCs w:val="20"/>
              </w:rPr>
              <w:t xml:space="preserve">Large</w:t>
            </w:r>
          </w:p>
        </w:tc>
      </w:tr>
      <w:tr>
        <w:tc>
          <w:tcPr>
            <w:tcW w:type="dxa" w:w="900"/>
            <w:tcBorders>
              <w:top w:val="single" w:color="E2E8F0" w:sz="1"/>
              <w:left w:val="single" w:color="E2E8F0" w:sz="1"/>
              <w:bottom w:val="single" w:color="E2E8F0" w:sz="1"/>
              <w:right w:val="single" w:color="E2E8F0" w:sz="1"/>
            </w:tcBorders>
            <w:shd w:fill="FEE2E2" w:val="clear"/>
            <w:tcMar>
              <w:top w:type="dxa" w:w="80"/>
              <w:left w:type="dxa" w:w="100"/>
              <w:bottom w:type="dxa" w:w="80"/>
              <w:right w:type="dxa" w:w="100"/>
            </w:tcMar>
            <w:vAlign w:val="center"/>
          </w:tcPr>
          <w:p>
            <w:pPr>
              <w:jc w:val="center"/>
            </w:pPr>
            <w:r>
              <w:rPr>
                <w:rFonts w:ascii="Arial" w:cs="Arial" w:eastAsia="Arial" w:hAnsi="Arial"/>
                <w:b/>
                <w:bCs/>
                <w:color w:val="991B1B"/>
                <w:sz w:val="20"/>
                <w:szCs w:val="20"/>
              </w:rPr>
              <w:t xml:space="preserve">P0</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Audit and trim unnecessary permissions</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Remove READ_SMS, CALL_LOG, CONTACTS, PROCESS_OUTGOING_CALLS, RECORD_AUDIO unless each has a confirmed use case.</w:t>
            </w:r>
          </w:p>
        </w:tc>
        <w:tc>
          <w:tcPr>
            <w:tcW w:type="dxa" w:w="1200"/>
            <w:tcBorders>
              <w:top w:val="single" w:color="E2E8F0" w:sz="1"/>
              <w:left w:val="single" w:color="E2E8F0" w:sz="1"/>
              <w:bottom w:val="single" w:color="E2E8F0" w:sz="1"/>
              <w:right w:val="single" w:color="E2E8F0" w:sz="1"/>
            </w:tcBorders>
            <w:tcMar>
              <w:top w:type="dxa" w:w="80"/>
              <w:left w:type="dxa" w:w="100"/>
              <w:bottom w:type="dxa" w:w="80"/>
              <w:right w:type="dxa" w:w="100"/>
            </w:tcMar>
            <w:vAlign w:val="center"/>
          </w:tcPr>
          <w:p>
            <w:pPr>
              <w:jc w:val="center"/>
            </w:pPr>
            <w:r>
              <w:rPr>
                <w:rFonts w:ascii="Arial" w:cs="Arial" w:eastAsia="Arial" w:hAnsi="Arial"/>
                <w:color w:val="64748B"/>
                <w:sz w:val="20"/>
                <w:szCs w:val="20"/>
              </w:rPr>
              <w:t xml:space="preserve">Small</w:t>
            </w:r>
          </w:p>
        </w:tc>
      </w:tr>
      <w:tr>
        <w:tc>
          <w:tcPr>
            <w:tcW w:type="dxa" w:w="900"/>
            <w:tcBorders>
              <w:top w:val="single" w:color="E2E8F0" w:sz="1"/>
              <w:left w:val="single" w:color="E2E8F0" w:sz="1"/>
              <w:bottom w:val="single" w:color="E2E8F0" w:sz="1"/>
              <w:right w:val="single" w:color="E2E8F0" w:sz="1"/>
            </w:tcBorders>
            <w:shd w:fill="FEF3C7" w:val="clear"/>
            <w:tcMar>
              <w:top w:type="dxa" w:w="80"/>
              <w:left w:type="dxa" w:w="100"/>
              <w:bottom w:type="dxa" w:w="80"/>
              <w:right w:type="dxa" w:w="100"/>
            </w:tcMar>
            <w:vAlign w:val="center"/>
          </w:tcPr>
          <w:p>
            <w:pPr>
              <w:jc w:val="center"/>
            </w:pPr>
            <w:r>
              <w:rPr>
                <w:rFonts w:ascii="Arial" w:cs="Arial" w:eastAsia="Arial" w:hAnsi="Arial"/>
                <w:b/>
                <w:bCs/>
                <w:color w:val="92400E"/>
                <w:sz w:val="20"/>
                <w:szCs w:val="20"/>
              </w:rPr>
              <w:t xml:space="preserve">P1</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Enable React Native New Architecture</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Set newArchEnabled: true in app.config. Enables Fabric renderer and JSI — significant scroll/animation performance improvement.</w:t>
            </w:r>
          </w:p>
        </w:tc>
        <w:tc>
          <w:tcPr>
            <w:tcW w:type="dxa" w:w="1200"/>
            <w:tcBorders>
              <w:top w:val="single" w:color="E2E8F0" w:sz="1"/>
              <w:left w:val="single" w:color="E2E8F0" w:sz="1"/>
              <w:bottom w:val="single" w:color="E2E8F0" w:sz="1"/>
              <w:right w:val="single" w:color="E2E8F0" w:sz="1"/>
            </w:tcBorders>
            <w:tcMar>
              <w:top w:type="dxa" w:w="80"/>
              <w:left w:type="dxa" w:w="100"/>
              <w:bottom w:type="dxa" w:w="80"/>
              <w:right w:type="dxa" w:w="100"/>
            </w:tcMar>
            <w:vAlign w:val="center"/>
          </w:tcPr>
          <w:p>
            <w:pPr>
              <w:jc w:val="center"/>
            </w:pPr>
            <w:r>
              <w:rPr>
                <w:rFonts w:ascii="Arial" w:cs="Arial" w:eastAsia="Arial" w:hAnsi="Arial"/>
                <w:color w:val="64748B"/>
                <w:sz w:val="20"/>
                <w:szCs w:val="20"/>
              </w:rPr>
              <w:t xml:space="preserve">Medium</w:t>
            </w:r>
          </w:p>
        </w:tc>
      </w:tr>
      <w:tr>
        <w:tc>
          <w:tcPr>
            <w:tcW w:type="dxa" w:w="900"/>
            <w:tcBorders>
              <w:top w:val="single" w:color="E2E8F0" w:sz="1"/>
              <w:left w:val="single" w:color="E2E8F0" w:sz="1"/>
              <w:bottom w:val="single" w:color="E2E8F0" w:sz="1"/>
              <w:right w:val="single" w:color="E2E8F0" w:sz="1"/>
            </w:tcBorders>
            <w:shd w:fill="FEF3C7" w:val="clear"/>
            <w:tcMar>
              <w:top w:type="dxa" w:w="80"/>
              <w:left w:type="dxa" w:w="100"/>
              <w:bottom w:type="dxa" w:w="80"/>
              <w:right w:type="dxa" w:w="100"/>
            </w:tcMar>
            <w:vAlign w:val="center"/>
          </w:tcPr>
          <w:p>
            <w:pPr>
              <w:jc w:val="center"/>
            </w:pPr>
            <w:r>
              <w:rPr>
                <w:rFonts w:ascii="Arial" w:cs="Arial" w:eastAsia="Arial" w:hAnsi="Arial"/>
                <w:b/>
                <w:bCs/>
                <w:color w:val="92400E"/>
                <w:sz w:val="20"/>
                <w:szCs w:val="20"/>
              </w:rPr>
              <w:t xml:space="preserve">P1</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Complete EMR integration</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This is the key differentiator. Implement FHIR API connection or partner EMR integration with patient consent flow.</w:t>
            </w:r>
          </w:p>
        </w:tc>
        <w:tc>
          <w:tcPr>
            <w:tcW w:type="dxa" w:w="1200"/>
            <w:tcBorders>
              <w:top w:val="single" w:color="E2E8F0" w:sz="1"/>
              <w:left w:val="single" w:color="E2E8F0" w:sz="1"/>
              <w:bottom w:val="single" w:color="E2E8F0" w:sz="1"/>
              <w:right w:val="single" w:color="E2E8F0" w:sz="1"/>
            </w:tcBorders>
            <w:tcMar>
              <w:top w:type="dxa" w:w="80"/>
              <w:left w:type="dxa" w:w="100"/>
              <w:bottom w:type="dxa" w:w="80"/>
              <w:right w:type="dxa" w:w="100"/>
            </w:tcMar>
            <w:vAlign w:val="center"/>
          </w:tcPr>
          <w:p>
            <w:pPr>
              <w:jc w:val="center"/>
            </w:pPr>
            <w:r>
              <w:rPr>
                <w:rFonts w:ascii="Arial" w:cs="Arial" w:eastAsia="Arial" w:hAnsi="Arial"/>
                <w:color w:val="64748B"/>
                <w:sz w:val="20"/>
                <w:szCs w:val="20"/>
              </w:rPr>
              <w:t xml:space="preserve">X-Large</w:t>
            </w:r>
          </w:p>
        </w:tc>
      </w:tr>
      <w:tr>
        <w:tc>
          <w:tcPr>
            <w:tcW w:type="dxa" w:w="900"/>
            <w:tcBorders>
              <w:top w:val="single" w:color="E2E8F0" w:sz="1"/>
              <w:left w:val="single" w:color="E2E8F0" w:sz="1"/>
              <w:bottom w:val="single" w:color="E2E8F0" w:sz="1"/>
              <w:right w:val="single" w:color="E2E8F0" w:sz="1"/>
            </w:tcBorders>
            <w:shd w:fill="FEF3C7" w:val="clear"/>
            <w:tcMar>
              <w:top w:type="dxa" w:w="80"/>
              <w:left w:type="dxa" w:w="100"/>
              <w:bottom w:type="dxa" w:w="80"/>
              <w:right w:type="dxa" w:w="100"/>
            </w:tcMar>
            <w:vAlign w:val="center"/>
          </w:tcPr>
          <w:p>
            <w:pPr>
              <w:jc w:val="center"/>
            </w:pPr>
            <w:r>
              <w:rPr>
                <w:rFonts w:ascii="Arial" w:cs="Arial" w:eastAsia="Arial" w:hAnsi="Arial"/>
                <w:b/>
                <w:bCs/>
                <w:color w:val="92400E"/>
                <w:sz w:val="20"/>
                <w:szCs w:val="20"/>
              </w:rPr>
              <w:t xml:space="preserve">P1</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Push notification backend</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Integrate FCM (Android) and APNs (iOS). Reminders for upcoming care and new opportunities are a key engagement driver.</w:t>
            </w:r>
          </w:p>
        </w:tc>
        <w:tc>
          <w:tcPr>
            <w:tcW w:type="dxa" w:w="1200"/>
            <w:tcBorders>
              <w:top w:val="single" w:color="E2E8F0" w:sz="1"/>
              <w:left w:val="single" w:color="E2E8F0" w:sz="1"/>
              <w:bottom w:val="single" w:color="E2E8F0" w:sz="1"/>
              <w:right w:val="single" w:color="E2E8F0" w:sz="1"/>
            </w:tcBorders>
            <w:tcMar>
              <w:top w:type="dxa" w:w="80"/>
              <w:left w:type="dxa" w:w="100"/>
              <w:bottom w:type="dxa" w:w="80"/>
              <w:right w:type="dxa" w:w="100"/>
            </w:tcMar>
            <w:vAlign w:val="center"/>
          </w:tcPr>
          <w:p>
            <w:pPr>
              <w:jc w:val="center"/>
            </w:pPr>
            <w:r>
              <w:rPr>
                <w:rFonts w:ascii="Arial" w:cs="Arial" w:eastAsia="Arial" w:hAnsi="Arial"/>
                <w:color w:val="64748B"/>
                <w:sz w:val="20"/>
                <w:szCs w:val="20"/>
              </w:rPr>
              <w:t xml:space="preserve">Medium</w:t>
            </w:r>
          </w:p>
        </w:tc>
      </w:tr>
      <w:tr>
        <w:tc>
          <w:tcPr>
            <w:tcW w:type="dxa" w:w="900"/>
            <w:tcBorders>
              <w:top w:val="single" w:color="E2E8F0" w:sz="1"/>
              <w:left w:val="single" w:color="E2E8F0" w:sz="1"/>
              <w:bottom w:val="single" w:color="E2E8F0" w:sz="1"/>
              <w:right w:val="single" w:color="E2E8F0" w:sz="1"/>
            </w:tcBorders>
            <w:shd w:fill="FEF3C7" w:val="clear"/>
            <w:tcMar>
              <w:top w:type="dxa" w:w="80"/>
              <w:left w:type="dxa" w:w="100"/>
              <w:bottom w:type="dxa" w:w="80"/>
              <w:right w:type="dxa" w:w="100"/>
            </w:tcMar>
            <w:vAlign w:val="center"/>
          </w:tcPr>
          <w:p>
            <w:pPr>
              <w:jc w:val="center"/>
            </w:pPr>
            <w:r>
              <w:rPr>
                <w:rFonts w:ascii="Arial" w:cs="Arial" w:eastAsia="Arial" w:hAnsi="Arial"/>
                <w:b/>
                <w:bCs/>
                <w:color w:val="92400E"/>
                <w:sz w:val="20"/>
                <w:szCs w:val="20"/>
              </w:rPr>
              <w:t xml:space="preserve">P1</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iOS App Store submission build</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iOS config is present in app.config. Parity release on iOS dramatically expands addressable market.</w:t>
            </w:r>
          </w:p>
        </w:tc>
        <w:tc>
          <w:tcPr>
            <w:tcW w:type="dxa" w:w="1200"/>
            <w:tcBorders>
              <w:top w:val="single" w:color="E2E8F0" w:sz="1"/>
              <w:left w:val="single" w:color="E2E8F0" w:sz="1"/>
              <w:bottom w:val="single" w:color="E2E8F0" w:sz="1"/>
              <w:right w:val="single" w:color="E2E8F0" w:sz="1"/>
            </w:tcBorders>
            <w:tcMar>
              <w:top w:type="dxa" w:w="80"/>
              <w:left w:type="dxa" w:w="100"/>
              <w:bottom w:type="dxa" w:w="80"/>
              <w:right w:type="dxa" w:w="100"/>
            </w:tcMar>
            <w:vAlign w:val="center"/>
          </w:tcPr>
          <w:p>
            <w:pPr>
              <w:jc w:val="center"/>
            </w:pPr>
            <w:r>
              <w:rPr>
                <w:rFonts w:ascii="Arial" w:cs="Arial" w:eastAsia="Arial" w:hAnsi="Arial"/>
                <w:color w:val="64748B"/>
                <w:sz w:val="20"/>
                <w:szCs w:val="20"/>
              </w:rPr>
              <w:t xml:space="preserve">Medium</w:t>
            </w:r>
          </w:p>
        </w:tc>
      </w:tr>
      <w:tr>
        <w:tc>
          <w:tcPr>
            <w:tcW w:type="dxa" w:w="900"/>
            <w:tcBorders>
              <w:top w:val="single" w:color="E2E8F0" w:sz="1"/>
              <w:left w:val="single" w:color="E2E8F0" w:sz="1"/>
              <w:bottom w:val="single" w:color="E2E8F0" w:sz="1"/>
              <w:right w:val="single" w:color="E2E8F0" w:sz="1"/>
            </w:tcBorders>
            <w:shd w:fill="FEF3C7" w:val="clear"/>
            <w:tcMar>
              <w:top w:type="dxa" w:w="80"/>
              <w:left w:type="dxa" w:w="100"/>
              <w:bottom w:type="dxa" w:w="80"/>
              <w:right w:type="dxa" w:w="100"/>
            </w:tcMar>
            <w:vAlign w:val="center"/>
          </w:tcPr>
          <w:p>
            <w:pPr>
              <w:jc w:val="center"/>
            </w:pPr>
            <w:r>
              <w:rPr>
                <w:rFonts w:ascii="Arial" w:cs="Arial" w:eastAsia="Arial" w:hAnsi="Arial"/>
                <w:b/>
                <w:bCs/>
                <w:color w:val="92400E"/>
                <w:sz w:val="20"/>
                <w:szCs w:val="20"/>
              </w:rPr>
              <w:t xml:space="preserve">P1</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Certificate pinning / API security hardening</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Add SSL pinning for the healthcare API to prevent MITM. Implement API key rotation strategy.</w:t>
            </w:r>
          </w:p>
        </w:tc>
        <w:tc>
          <w:tcPr>
            <w:tcW w:type="dxa" w:w="1200"/>
            <w:tcBorders>
              <w:top w:val="single" w:color="E2E8F0" w:sz="1"/>
              <w:left w:val="single" w:color="E2E8F0" w:sz="1"/>
              <w:bottom w:val="single" w:color="E2E8F0" w:sz="1"/>
              <w:right w:val="single" w:color="E2E8F0" w:sz="1"/>
            </w:tcBorders>
            <w:tcMar>
              <w:top w:type="dxa" w:w="80"/>
              <w:left w:type="dxa" w:w="100"/>
              <w:bottom w:type="dxa" w:w="80"/>
              <w:right w:type="dxa" w:w="100"/>
            </w:tcMar>
            <w:vAlign w:val="center"/>
          </w:tcPr>
          <w:p>
            <w:pPr>
              <w:jc w:val="center"/>
            </w:pPr>
            <w:r>
              <w:rPr>
                <w:rFonts w:ascii="Arial" w:cs="Arial" w:eastAsia="Arial" w:hAnsi="Arial"/>
                <w:color w:val="64748B"/>
                <w:sz w:val="20"/>
                <w:szCs w:val="20"/>
              </w:rPr>
              <w:t xml:space="preserve">Medium</w:t>
            </w:r>
          </w:p>
        </w:tc>
      </w:tr>
      <w:tr>
        <w:tc>
          <w:tcPr>
            <w:tcW w:type="dxa" w:w="900"/>
            <w:tcBorders>
              <w:top w:val="single" w:color="E2E8F0" w:sz="1"/>
              <w:left w:val="single" w:color="E2E8F0" w:sz="1"/>
              <w:bottom w:val="single" w:color="E2E8F0" w:sz="1"/>
              <w:right w:val="single" w:color="E2E8F0" w:sz="1"/>
            </w:tcBorders>
            <w:shd w:fill="FEF3C7" w:val="clear"/>
            <w:tcMar>
              <w:top w:type="dxa" w:w="80"/>
              <w:left w:type="dxa" w:w="100"/>
              <w:bottom w:type="dxa" w:w="80"/>
              <w:right w:type="dxa" w:w="100"/>
            </w:tcMar>
            <w:vAlign w:val="center"/>
          </w:tcPr>
          <w:p>
            <w:pPr>
              <w:jc w:val="center"/>
            </w:pPr>
            <w:r>
              <w:rPr>
                <w:rFonts w:ascii="Arial" w:cs="Arial" w:eastAsia="Arial" w:hAnsi="Arial"/>
                <w:b/>
                <w:bCs/>
                <w:color w:val="92400E"/>
                <w:sz w:val="20"/>
                <w:szCs w:val="20"/>
              </w:rPr>
              <w:t xml:space="preserve">P1</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Offline-first data layer</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Implement React Query or SWR with a local cache. Healthcare users need access to their data even on poor connectivity.</w:t>
            </w:r>
          </w:p>
        </w:tc>
        <w:tc>
          <w:tcPr>
            <w:tcW w:type="dxa" w:w="1200"/>
            <w:tcBorders>
              <w:top w:val="single" w:color="E2E8F0" w:sz="1"/>
              <w:left w:val="single" w:color="E2E8F0" w:sz="1"/>
              <w:bottom w:val="single" w:color="E2E8F0" w:sz="1"/>
              <w:right w:val="single" w:color="E2E8F0" w:sz="1"/>
            </w:tcBorders>
            <w:tcMar>
              <w:top w:type="dxa" w:w="80"/>
              <w:left w:type="dxa" w:w="100"/>
              <w:bottom w:type="dxa" w:w="80"/>
              <w:right w:type="dxa" w:w="100"/>
            </w:tcMar>
            <w:vAlign w:val="center"/>
          </w:tcPr>
          <w:p>
            <w:pPr>
              <w:jc w:val="center"/>
            </w:pPr>
            <w:r>
              <w:rPr>
                <w:rFonts w:ascii="Arial" w:cs="Arial" w:eastAsia="Arial" w:hAnsi="Arial"/>
                <w:color w:val="64748B"/>
                <w:sz w:val="20"/>
                <w:szCs w:val="20"/>
              </w:rPr>
              <w:t xml:space="preserve">Large</w:t>
            </w:r>
          </w:p>
        </w:tc>
      </w:tr>
      <w:tr>
        <w:tc>
          <w:tcPr>
            <w:tcW w:type="dxa" w:w="9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vAlign w:val="center"/>
          </w:tcPr>
          <w:p>
            <w:pPr>
              <w:jc w:val="center"/>
            </w:pPr>
            <w:r>
              <w:rPr>
                <w:rFonts w:ascii="Arial" w:cs="Arial" w:eastAsia="Arial" w:hAnsi="Arial"/>
                <w:b/>
                <w:bCs/>
                <w:color w:val="1E40AF"/>
                <w:sz w:val="20"/>
                <w:szCs w:val="20"/>
              </w:rPr>
              <w:t xml:space="preserve">P2</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Leaderboard &amp; social features</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Points leaderboard infrastructure is present. Social comparison and challenges are a strong engagement lever.</w:t>
            </w:r>
          </w:p>
        </w:tc>
        <w:tc>
          <w:tcPr>
            <w:tcW w:type="dxa" w:w="1200"/>
            <w:tcBorders>
              <w:top w:val="single" w:color="E2E8F0" w:sz="1"/>
              <w:left w:val="single" w:color="E2E8F0" w:sz="1"/>
              <w:bottom w:val="single" w:color="E2E8F0" w:sz="1"/>
              <w:right w:val="single" w:color="E2E8F0" w:sz="1"/>
            </w:tcBorders>
            <w:tcMar>
              <w:top w:type="dxa" w:w="80"/>
              <w:left w:type="dxa" w:w="100"/>
              <w:bottom w:type="dxa" w:w="80"/>
              <w:right w:type="dxa" w:w="100"/>
            </w:tcMar>
            <w:vAlign w:val="center"/>
          </w:tcPr>
          <w:p>
            <w:pPr>
              <w:jc w:val="center"/>
            </w:pPr>
            <w:r>
              <w:rPr>
                <w:rFonts w:ascii="Arial" w:cs="Arial" w:eastAsia="Arial" w:hAnsi="Arial"/>
                <w:color w:val="64748B"/>
                <w:sz w:val="20"/>
                <w:szCs w:val="20"/>
              </w:rPr>
              <w:t xml:space="preserve">Medium</w:t>
            </w:r>
          </w:p>
        </w:tc>
      </w:tr>
      <w:tr>
        <w:tc>
          <w:tcPr>
            <w:tcW w:type="dxa" w:w="9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vAlign w:val="center"/>
          </w:tcPr>
          <w:p>
            <w:pPr>
              <w:jc w:val="center"/>
            </w:pPr>
            <w:r>
              <w:rPr>
                <w:rFonts w:ascii="Arial" w:cs="Arial" w:eastAsia="Arial" w:hAnsi="Arial"/>
                <w:b/>
                <w:bCs/>
                <w:color w:val="1E40AF"/>
                <w:sz w:val="20"/>
                <w:szCs w:val="20"/>
              </w:rPr>
              <w:t xml:space="preserve">P2</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Tablet / landscape support</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Claims tables and benefit details are data-heavy. Landscape layout on tablet improves readability significantly.</w:t>
            </w:r>
          </w:p>
        </w:tc>
        <w:tc>
          <w:tcPr>
            <w:tcW w:type="dxa" w:w="1200"/>
            <w:tcBorders>
              <w:top w:val="single" w:color="E2E8F0" w:sz="1"/>
              <w:left w:val="single" w:color="E2E8F0" w:sz="1"/>
              <w:bottom w:val="single" w:color="E2E8F0" w:sz="1"/>
              <w:right w:val="single" w:color="E2E8F0" w:sz="1"/>
            </w:tcBorders>
            <w:tcMar>
              <w:top w:type="dxa" w:w="80"/>
              <w:left w:type="dxa" w:w="100"/>
              <w:bottom w:type="dxa" w:w="80"/>
              <w:right w:type="dxa" w:w="100"/>
            </w:tcMar>
            <w:vAlign w:val="center"/>
          </w:tcPr>
          <w:p>
            <w:pPr>
              <w:jc w:val="center"/>
            </w:pPr>
            <w:r>
              <w:rPr>
                <w:rFonts w:ascii="Arial" w:cs="Arial" w:eastAsia="Arial" w:hAnsi="Arial"/>
                <w:color w:val="64748B"/>
                <w:sz w:val="20"/>
                <w:szCs w:val="20"/>
              </w:rPr>
              <w:t xml:space="preserve">Medium</w:t>
            </w:r>
          </w:p>
        </w:tc>
      </w:tr>
      <w:tr>
        <w:tc>
          <w:tcPr>
            <w:tcW w:type="dxa" w:w="9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vAlign w:val="center"/>
          </w:tcPr>
          <w:p>
            <w:pPr>
              <w:jc w:val="center"/>
            </w:pPr>
            <w:r>
              <w:rPr>
                <w:rFonts w:ascii="Arial" w:cs="Arial" w:eastAsia="Arial" w:hAnsi="Arial"/>
                <w:b/>
                <w:bCs/>
                <w:color w:val="1E40AF"/>
                <w:sz w:val="20"/>
                <w:szCs w:val="20"/>
              </w:rPr>
              <w:t xml:space="preserve">P2</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Wearable / HealthKit / Google Fit integration</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The sensor infrastructure in the bundle hints at this direction. Step counts, sleep data, and activity can unlock additional earn opportunities.</w:t>
            </w:r>
          </w:p>
        </w:tc>
        <w:tc>
          <w:tcPr>
            <w:tcW w:type="dxa" w:w="1200"/>
            <w:tcBorders>
              <w:top w:val="single" w:color="E2E8F0" w:sz="1"/>
              <w:left w:val="single" w:color="E2E8F0" w:sz="1"/>
              <w:bottom w:val="single" w:color="E2E8F0" w:sz="1"/>
              <w:right w:val="single" w:color="E2E8F0" w:sz="1"/>
            </w:tcBorders>
            <w:tcMar>
              <w:top w:type="dxa" w:w="80"/>
              <w:left w:type="dxa" w:w="100"/>
              <w:bottom w:type="dxa" w:w="80"/>
              <w:right w:type="dxa" w:w="100"/>
            </w:tcMar>
            <w:vAlign w:val="center"/>
          </w:tcPr>
          <w:p>
            <w:pPr>
              <w:jc w:val="center"/>
            </w:pPr>
            <w:r>
              <w:rPr>
                <w:rFonts w:ascii="Arial" w:cs="Arial" w:eastAsia="Arial" w:hAnsi="Arial"/>
                <w:color w:val="64748B"/>
                <w:sz w:val="20"/>
                <w:szCs w:val="20"/>
              </w:rPr>
              <w:t xml:space="preserve">Large</w:t>
            </w:r>
          </w:p>
        </w:tc>
      </w:tr>
      <w:tr>
        <w:tc>
          <w:tcPr>
            <w:tcW w:type="dxa" w:w="9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vAlign w:val="center"/>
          </w:tcPr>
          <w:p>
            <w:pPr>
              <w:jc w:val="center"/>
            </w:pPr>
            <w:r>
              <w:rPr>
                <w:rFonts w:ascii="Arial" w:cs="Arial" w:eastAsia="Arial" w:hAnsi="Arial"/>
                <w:b/>
                <w:bCs/>
                <w:color w:val="1E40AF"/>
                <w:sz w:val="20"/>
                <w:szCs w:val="20"/>
              </w:rPr>
              <w:t xml:space="preserve">P2</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AAB upload to Play Store</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Switch from APK to Android App Bundle. Play Store handles ABI splits automatically, reducing download size.</w:t>
            </w:r>
          </w:p>
        </w:tc>
        <w:tc>
          <w:tcPr>
            <w:tcW w:type="dxa" w:w="1200"/>
            <w:tcBorders>
              <w:top w:val="single" w:color="E2E8F0" w:sz="1"/>
              <w:left w:val="single" w:color="E2E8F0" w:sz="1"/>
              <w:bottom w:val="single" w:color="E2E8F0" w:sz="1"/>
              <w:right w:val="single" w:color="E2E8F0" w:sz="1"/>
            </w:tcBorders>
            <w:tcMar>
              <w:top w:type="dxa" w:w="80"/>
              <w:left w:type="dxa" w:w="100"/>
              <w:bottom w:type="dxa" w:w="80"/>
              <w:right w:type="dxa" w:w="100"/>
            </w:tcMar>
            <w:vAlign w:val="center"/>
          </w:tcPr>
          <w:p>
            <w:pPr>
              <w:jc w:val="center"/>
            </w:pPr>
            <w:r>
              <w:rPr>
                <w:rFonts w:ascii="Arial" w:cs="Arial" w:eastAsia="Arial" w:hAnsi="Arial"/>
                <w:color w:val="64748B"/>
                <w:sz w:val="20"/>
                <w:szCs w:val="20"/>
              </w:rPr>
              <w:t xml:space="preserve">Small</w:t>
            </w:r>
          </w:p>
        </w:tc>
      </w:tr>
      <w:tr>
        <w:tc>
          <w:tcPr>
            <w:tcW w:type="dxa" w:w="900"/>
            <w:tcBorders>
              <w:top w:val="single" w:color="E2E8F0" w:sz="1"/>
              <w:left w:val="single" w:color="E2E8F0" w:sz="1"/>
              <w:bottom w:val="single" w:color="E2E8F0" w:sz="1"/>
              <w:right w:val="single" w:color="E2E8F0" w:sz="1"/>
            </w:tcBorders>
            <w:shd w:fill="F0FDF4" w:val="clear"/>
            <w:tcMar>
              <w:top w:type="dxa" w:w="80"/>
              <w:left w:type="dxa" w:w="100"/>
              <w:bottom w:type="dxa" w:w="80"/>
              <w:right w:type="dxa" w:w="100"/>
            </w:tcMar>
            <w:vAlign w:val="center"/>
          </w:tcPr>
          <w:p>
            <w:pPr>
              <w:jc w:val="center"/>
            </w:pPr>
            <w:r>
              <w:rPr>
                <w:rFonts w:ascii="Arial" w:cs="Arial" w:eastAsia="Arial" w:hAnsi="Arial"/>
                <w:b/>
                <w:bCs/>
                <w:color w:val="065F46"/>
                <w:sz w:val="20"/>
                <w:szCs w:val="20"/>
              </w:rPr>
              <w:t xml:space="preserve">P3</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Employer / plan sponsor portal</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B2B dashboard for HR managers to see aggregate engagement metrics (anonymised). Critical for enterprise sales.</w:t>
            </w:r>
          </w:p>
        </w:tc>
        <w:tc>
          <w:tcPr>
            <w:tcW w:type="dxa" w:w="1200"/>
            <w:tcBorders>
              <w:top w:val="single" w:color="E2E8F0" w:sz="1"/>
              <w:left w:val="single" w:color="E2E8F0" w:sz="1"/>
              <w:bottom w:val="single" w:color="E2E8F0" w:sz="1"/>
              <w:right w:val="single" w:color="E2E8F0" w:sz="1"/>
            </w:tcBorders>
            <w:tcMar>
              <w:top w:type="dxa" w:w="80"/>
              <w:left w:type="dxa" w:w="100"/>
              <w:bottom w:type="dxa" w:w="80"/>
              <w:right w:type="dxa" w:w="100"/>
            </w:tcMar>
            <w:vAlign w:val="center"/>
          </w:tcPr>
          <w:p>
            <w:pPr>
              <w:jc w:val="center"/>
            </w:pPr>
            <w:r>
              <w:rPr>
                <w:rFonts w:ascii="Arial" w:cs="Arial" w:eastAsia="Arial" w:hAnsi="Arial"/>
                <w:color w:val="64748B"/>
                <w:sz w:val="20"/>
                <w:szCs w:val="20"/>
              </w:rPr>
              <w:t xml:space="preserve">X-Large</w:t>
            </w:r>
          </w:p>
        </w:tc>
      </w:tr>
      <w:tr>
        <w:tc>
          <w:tcPr>
            <w:tcW w:type="dxa" w:w="900"/>
            <w:tcBorders>
              <w:top w:val="single" w:color="E2E8F0" w:sz="1"/>
              <w:left w:val="single" w:color="E2E8F0" w:sz="1"/>
              <w:bottom w:val="single" w:color="E2E8F0" w:sz="1"/>
              <w:right w:val="single" w:color="E2E8F0" w:sz="1"/>
            </w:tcBorders>
            <w:shd w:fill="F0FDF4" w:val="clear"/>
            <w:tcMar>
              <w:top w:type="dxa" w:w="80"/>
              <w:left w:type="dxa" w:w="100"/>
              <w:bottom w:type="dxa" w:w="80"/>
              <w:right w:type="dxa" w:w="100"/>
            </w:tcMar>
            <w:vAlign w:val="center"/>
          </w:tcPr>
          <w:p>
            <w:pPr>
              <w:jc w:val="center"/>
            </w:pPr>
            <w:r>
              <w:rPr>
                <w:rFonts w:ascii="Arial" w:cs="Arial" w:eastAsia="Arial" w:hAnsi="Arial"/>
                <w:b/>
                <w:bCs/>
                <w:color w:val="065F46"/>
                <w:sz w:val="20"/>
                <w:szCs w:val="20"/>
              </w:rPr>
              <w:t xml:space="preserve">P3</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Predictive care gap engine</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Use claims history to proactively surface care gaps before they become costly. ML-based opportunity ranking.</w:t>
            </w:r>
          </w:p>
        </w:tc>
        <w:tc>
          <w:tcPr>
            <w:tcW w:type="dxa" w:w="1200"/>
            <w:tcBorders>
              <w:top w:val="single" w:color="E2E8F0" w:sz="1"/>
              <w:left w:val="single" w:color="E2E8F0" w:sz="1"/>
              <w:bottom w:val="single" w:color="E2E8F0" w:sz="1"/>
              <w:right w:val="single" w:color="E2E8F0" w:sz="1"/>
            </w:tcBorders>
            <w:tcMar>
              <w:top w:type="dxa" w:w="80"/>
              <w:left w:type="dxa" w:w="100"/>
              <w:bottom w:type="dxa" w:w="80"/>
              <w:right w:type="dxa" w:w="100"/>
            </w:tcMar>
            <w:vAlign w:val="center"/>
          </w:tcPr>
          <w:p>
            <w:pPr>
              <w:jc w:val="center"/>
            </w:pPr>
            <w:r>
              <w:rPr>
                <w:rFonts w:ascii="Arial" w:cs="Arial" w:eastAsia="Arial" w:hAnsi="Arial"/>
                <w:color w:val="64748B"/>
                <w:sz w:val="20"/>
                <w:szCs w:val="20"/>
              </w:rPr>
              <w:t xml:space="preserve">X-Large</w:t>
            </w:r>
          </w:p>
        </w:tc>
      </w:tr>
      <w:tr>
        <w:tc>
          <w:tcPr>
            <w:tcW w:type="dxa" w:w="900"/>
            <w:tcBorders>
              <w:top w:val="single" w:color="E2E8F0" w:sz="1"/>
              <w:left w:val="single" w:color="E2E8F0" w:sz="1"/>
              <w:bottom w:val="single" w:color="E2E8F0" w:sz="1"/>
              <w:right w:val="single" w:color="E2E8F0" w:sz="1"/>
            </w:tcBorders>
            <w:shd w:fill="F0FDF4" w:val="clear"/>
            <w:tcMar>
              <w:top w:type="dxa" w:w="80"/>
              <w:left w:type="dxa" w:w="100"/>
              <w:bottom w:type="dxa" w:w="80"/>
              <w:right w:type="dxa" w:w="100"/>
            </w:tcMar>
            <w:vAlign w:val="center"/>
          </w:tcPr>
          <w:p>
            <w:pPr>
              <w:jc w:val="center"/>
            </w:pPr>
            <w:r>
              <w:rPr>
                <w:rFonts w:ascii="Arial" w:cs="Arial" w:eastAsia="Arial" w:hAnsi="Arial"/>
                <w:b/>
                <w:bCs/>
                <w:color w:val="065F46"/>
                <w:sz w:val="20"/>
                <w:szCs w:val="20"/>
              </w:rPr>
              <w:t xml:space="preserve">P3</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Multi-member / family accounts</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Allow members to manage family dependants' opportunities and points in a single account.</w:t>
            </w:r>
          </w:p>
        </w:tc>
        <w:tc>
          <w:tcPr>
            <w:tcW w:type="dxa" w:w="1200"/>
            <w:tcBorders>
              <w:top w:val="single" w:color="E2E8F0" w:sz="1"/>
              <w:left w:val="single" w:color="E2E8F0" w:sz="1"/>
              <w:bottom w:val="single" w:color="E2E8F0" w:sz="1"/>
              <w:right w:val="single" w:color="E2E8F0" w:sz="1"/>
            </w:tcBorders>
            <w:tcMar>
              <w:top w:type="dxa" w:w="80"/>
              <w:left w:type="dxa" w:w="100"/>
              <w:bottom w:type="dxa" w:w="80"/>
              <w:right w:type="dxa" w:w="100"/>
            </w:tcMar>
            <w:vAlign w:val="center"/>
          </w:tcPr>
          <w:p>
            <w:pPr>
              <w:jc w:val="center"/>
            </w:pPr>
            <w:r>
              <w:rPr>
                <w:rFonts w:ascii="Arial" w:cs="Arial" w:eastAsia="Arial" w:hAnsi="Arial"/>
                <w:color w:val="64748B"/>
                <w:sz w:val="20"/>
                <w:szCs w:val="20"/>
              </w:rPr>
              <w:t xml:space="preserve">Large</w:t>
            </w:r>
          </w:p>
        </w:tc>
      </w:tr>
    </w:tbl>
    <w:p>
      <w:pPr>
        <w:spacing w:after="80"/>
      </w:pPr>
      <w:r>
        <w:t xml:space="preserve"/>
      </w:r>
    </w:p>
    <w:p>
      <w:pPr>
        <w:spacing w:after="80"/>
      </w:pPr>
      <w:r>
        <w:t xml:space="preserve"/>
      </w:r>
    </w:p>
    <w:p>
      <w:pPr>
        <w:pStyle w:val="Heading1"/>
        <w:spacing w:after="160" w:before="360"/>
      </w:pPr>
      <w:r>
        <w:rPr>
          <w:rFonts w:ascii="Arial" w:cs="Arial" w:eastAsia="Arial" w:hAnsi="Arial"/>
          <w:b/>
          <w:bCs/>
          <w:color w:val="0D6D62"/>
          <w:sz w:val="36"/>
          <w:szCs w:val="36"/>
        </w:rPr>
        <w:t xml:space="preserve">7. Questions for Tomorrow's Discussion</w:t>
      </w:r>
    </w:p>
    <w:p>
      <w:pPr>
        <w:spacing w:after="120"/>
      </w:pPr>
      <w:r>
        <w:rPr>
          <w:rFonts w:ascii="Arial" w:cs="Arial" w:eastAsia="Arial" w:hAnsi="Arial"/>
          <w:color w:val="1E293B"/>
          <w:sz w:val="22"/>
          <w:szCs w:val="22"/>
        </w:rPr>
        <w:t xml:space="preserve">These are the most important open questions to get answers on before planning any further build-out:</w:t>
      </w:r>
    </w:p>
    <w:p>
      <w:pPr>
        <w:spacing w:after="80"/>
      </w:pPr>
      <w:r>
        <w:t xml:space="preserve"/>
      </w:r>
    </w:p>
    <w:p>
      <w:pPr>
        <w:pStyle w:val="Heading2"/>
        <w:pBdr>
          <w:bottom w:val="single" w:color="E0F2FE" w:sz="4"/>
        </w:pBdr>
        <w:spacing w:after="120" w:before="280"/>
      </w:pPr>
      <w:r>
        <w:rPr>
          <w:rFonts w:ascii="Arial" w:cs="Arial" w:eastAsia="Arial" w:hAnsi="Arial"/>
          <w:b/>
          <w:bCs/>
          <w:color w:val="1E293B"/>
          <w:sz w:val="28"/>
          <w:szCs w:val="28"/>
        </w:rPr>
        <w:t xml:space="preserve">7.1 Business &amp; Partnerships</w:t>
      </w:r>
    </w:p>
    <w:p>
      <w:pPr>
        <w:pStyle w:val="ListParagraph"/>
        <w:numPr>
          <w:ilvl w:val="0"/>
          <w:numId w:val="2"/>
        </w:numPr>
        <w:spacing w:after="80"/>
      </w:pPr>
      <w:r>
        <w:rPr>
          <w:rFonts w:ascii="Arial" w:cs="Arial" w:eastAsia="Arial" w:hAnsi="Arial"/>
          <w:color w:val="1E293B"/>
          <w:sz w:val="22"/>
          <w:szCs w:val="22"/>
        </w:rPr>
        <w:t xml:space="preserve">Who is the primary customer — individual members, self-insured employers, or health plans? The go-to-market motion is fundamentally different for each.</w:t>
      </w:r>
    </w:p>
    <w:p>
      <w:pPr>
        <w:pStyle w:val="ListParagraph"/>
        <w:numPr>
          <w:ilvl w:val="0"/>
          <w:numId w:val="2"/>
        </w:numPr>
        <w:spacing w:after="80"/>
      </w:pPr>
      <w:r>
        <w:rPr>
          <w:rFonts w:ascii="Arial" w:cs="Arial" w:eastAsia="Arial" w:hAnsi="Arial"/>
          <w:color w:val="1E293B"/>
          <w:sz w:val="22"/>
          <w:szCs w:val="22"/>
        </w:rPr>
        <w:t xml:space="preserve">Is there a live insurer/PBM (pharmacy benefits manager) data partnership in place, or is the claims data feed still being negotiated? This is the critical path dependency.</w:t>
      </w:r>
    </w:p>
    <w:p>
      <w:pPr>
        <w:pStyle w:val="ListParagraph"/>
        <w:numPr>
          <w:ilvl w:val="0"/>
          <w:numId w:val="2"/>
        </w:numPr>
        <w:spacing w:after="80"/>
      </w:pPr>
      <w:r>
        <w:rPr>
          <w:rFonts w:ascii="Arial" w:cs="Arial" w:eastAsia="Arial" w:hAnsi="Arial"/>
          <w:color w:val="1E293B"/>
          <w:sz w:val="22"/>
          <w:szCs w:val="22"/>
        </w:rPr>
        <w:t xml:space="preserve">What is the regulatory strategy — is this a wellness app (lighter regulation) or a healthcare app subject to FDA/HIPAA oversight? Have legal counsel been engaged?</w:t>
      </w:r>
    </w:p>
    <w:p>
      <w:pPr>
        <w:pStyle w:val="ListParagraph"/>
        <w:numPr>
          <w:ilvl w:val="0"/>
          <w:numId w:val="2"/>
        </w:numPr>
        <w:spacing w:after="80"/>
      </w:pPr>
      <w:r>
        <w:rPr>
          <w:rFonts w:ascii="Arial" w:cs="Arial" w:eastAsia="Arial" w:hAnsi="Arial"/>
          <w:color w:val="1E293B"/>
          <w:sz w:val="22"/>
          <w:szCs w:val="22"/>
        </w:rPr>
        <w:t xml:space="preserve">Has a HIPAA Business Associate Agreement been signed with all backend service providers, including the AI provider used for doctor note generation?</w:t>
      </w:r>
    </w:p>
    <w:p>
      <w:pPr>
        <w:spacing w:after="80"/>
      </w:pPr>
      <w:r>
        <w:t xml:space="preserve"/>
      </w:r>
    </w:p>
    <w:p>
      <w:pPr>
        <w:pStyle w:val="Heading2"/>
        <w:pBdr>
          <w:bottom w:val="single" w:color="E0F2FE" w:sz="4"/>
        </w:pBdr>
        <w:spacing w:after="120" w:before="280"/>
      </w:pPr>
      <w:r>
        <w:rPr>
          <w:rFonts w:ascii="Arial" w:cs="Arial" w:eastAsia="Arial" w:hAnsi="Arial"/>
          <w:b/>
          <w:bCs/>
          <w:color w:val="1E293B"/>
          <w:sz w:val="28"/>
          <w:szCs w:val="28"/>
        </w:rPr>
        <w:t xml:space="preserve">7.2 Product Direction</w:t>
      </w:r>
    </w:p>
    <w:p>
      <w:pPr>
        <w:pStyle w:val="ListParagraph"/>
        <w:numPr>
          <w:ilvl w:val="0"/>
          <w:numId w:val="2"/>
        </w:numPr>
        <w:spacing w:after="80"/>
      </w:pPr>
      <w:r>
        <w:rPr>
          <w:rFonts w:ascii="Arial" w:cs="Arial" w:eastAsia="Arial" w:hAnsi="Arial"/>
          <w:color w:val="1E293B"/>
          <w:sz w:val="22"/>
          <w:szCs w:val="22"/>
        </w:rPr>
        <w:t xml:space="preserve">What does the intended go-live timeline look like? Given the mock data and mocked auth, a 6–12 week integration sprint before even a closed beta seems realistic.</w:t>
      </w:r>
    </w:p>
    <w:p>
      <w:pPr>
        <w:pStyle w:val="ListParagraph"/>
        <w:numPr>
          <w:ilvl w:val="0"/>
          <w:numId w:val="2"/>
        </w:numPr>
        <w:spacing w:after="80"/>
      </w:pPr>
      <w:r>
        <w:rPr>
          <w:rFonts w:ascii="Arial" w:cs="Arial" w:eastAsia="Arial" w:hAnsi="Arial"/>
          <w:color w:val="1E293B"/>
          <w:sz w:val="22"/>
          <w:szCs w:val="22"/>
        </w:rPr>
        <w:t xml:space="preserve">Which opportunity type has the clearest near-term ROI to prioritise: medication switching, mail delivery pharmacy, or preventive care?</w:t>
      </w:r>
    </w:p>
    <w:p>
      <w:pPr>
        <w:pStyle w:val="ListParagraph"/>
        <w:numPr>
          <w:ilvl w:val="0"/>
          <w:numId w:val="2"/>
        </w:numPr>
        <w:spacing w:after="80"/>
      </w:pPr>
      <w:r>
        <w:rPr>
          <w:rFonts w:ascii="Arial" w:cs="Arial" w:eastAsia="Arial" w:hAnsi="Arial"/>
          <w:color w:val="1E293B"/>
          <w:sz w:val="22"/>
          <w:szCs w:val="22"/>
        </w:rPr>
        <w:t xml:space="preserve">Is the doctor note generation feature intended to be fully automated (AI writes and sends) or human-in-the-loop (AI drafts, member reviews)? The latter has much lower regulatory risk.</w:t>
      </w:r>
    </w:p>
    <w:p>
      <w:pPr>
        <w:pStyle w:val="ListParagraph"/>
        <w:numPr>
          <w:ilvl w:val="0"/>
          <w:numId w:val="2"/>
        </w:numPr>
        <w:spacing w:after="80"/>
      </w:pPr>
      <w:r>
        <w:rPr>
          <w:rFonts w:ascii="Arial" w:cs="Arial" w:eastAsia="Arial" w:hAnsi="Arial"/>
          <w:color w:val="1E293B"/>
          <w:sz w:val="22"/>
          <w:szCs w:val="22"/>
        </w:rPr>
        <w:t xml:space="preserve">Are there existing provider network relationships for the provider comparison feature, or is this based on public data (e.g., CMS quality ratings)?</w:t>
      </w:r>
    </w:p>
    <w:p>
      <w:pPr>
        <w:spacing w:after="80"/>
      </w:pPr>
      <w:r>
        <w:t xml:space="preserve"/>
      </w:r>
    </w:p>
    <w:p>
      <w:pPr>
        <w:pStyle w:val="Heading2"/>
        <w:pBdr>
          <w:bottom w:val="single" w:color="E0F2FE" w:sz="4"/>
        </w:pBdr>
        <w:spacing w:after="120" w:before="280"/>
      </w:pPr>
      <w:r>
        <w:rPr>
          <w:rFonts w:ascii="Arial" w:cs="Arial" w:eastAsia="Arial" w:hAnsi="Arial"/>
          <w:b/>
          <w:bCs/>
          <w:color w:val="1E293B"/>
          <w:sz w:val="28"/>
          <w:szCs w:val="28"/>
        </w:rPr>
        <w:t xml:space="preserve">7.3 Technical Architecture</w:t>
      </w:r>
    </w:p>
    <w:p>
      <w:pPr>
        <w:pStyle w:val="ListParagraph"/>
        <w:numPr>
          <w:ilvl w:val="0"/>
          <w:numId w:val="2"/>
        </w:numPr>
        <w:spacing w:after="80"/>
      </w:pPr>
      <w:r>
        <w:rPr>
          <w:rFonts w:ascii="Arial" w:cs="Arial" w:eastAsia="Arial" w:hAnsi="Arial"/>
          <w:color w:val="1E293B"/>
          <w:sz w:val="22"/>
          <w:szCs w:val="22"/>
        </w:rPr>
        <w:t xml:space="preserve">What is the backend stack? Knowing whether this is REST, GraphQL, or FHIR-native shapes the integration approach significantly.</w:t>
      </w:r>
    </w:p>
    <w:p>
      <w:pPr>
        <w:pStyle w:val="ListParagraph"/>
        <w:numPr>
          <w:ilvl w:val="0"/>
          <w:numId w:val="2"/>
        </w:numPr>
        <w:spacing w:after="80"/>
      </w:pPr>
      <w:r>
        <w:rPr>
          <w:rFonts w:ascii="Arial" w:cs="Arial" w:eastAsia="Arial" w:hAnsi="Arial"/>
          <w:color w:val="1E293B"/>
          <w:sz w:val="22"/>
          <w:szCs w:val="22"/>
        </w:rPr>
        <w:t xml:space="preserve">Is there a staging environment with synthetic patient data available for development and QA?</w:t>
      </w:r>
    </w:p>
    <w:p>
      <w:pPr>
        <w:pStyle w:val="ListParagraph"/>
        <w:numPr>
          <w:ilvl w:val="0"/>
          <w:numId w:val="2"/>
        </w:numPr>
        <w:spacing w:after="80"/>
      </w:pPr>
      <w:r>
        <w:rPr>
          <w:rFonts w:ascii="Arial" w:cs="Arial" w:eastAsia="Arial" w:hAnsi="Arial"/>
          <w:color w:val="1E293B"/>
          <w:sz w:val="22"/>
          <w:szCs w:val="22"/>
        </w:rPr>
        <w:t xml:space="preserve">Who owns the API contract — is this in-house engineering or a third-party healthcare data vendor?</w:t>
      </w:r>
    </w:p>
    <w:p>
      <w:pPr>
        <w:pStyle w:val="ListParagraph"/>
        <w:numPr>
          <w:ilvl w:val="0"/>
          <w:numId w:val="2"/>
        </w:numPr>
        <w:spacing w:after="80"/>
      </w:pPr>
      <w:r>
        <w:rPr>
          <w:rFonts w:ascii="Arial" w:cs="Arial" w:eastAsia="Arial" w:hAnsi="Arial"/>
          <w:color w:val="1E293B"/>
          <w:sz w:val="22"/>
          <w:szCs w:val="22"/>
        </w:rPr>
        <w:t xml:space="preserve">What is the decision on New Architecture? The earlier we enable it, the easier the migration — but it requires testing all native modules for compatibility.</w:t>
      </w:r>
    </w:p>
    <w:p>
      <w:pPr>
        <w:pStyle w:val="ListParagraph"/>
        <w:numPr>
          <w:ilvl w:val="0"/>
          <w:numId w:val="2"/>
        </w:numPr>
        <w:spacing w:after="80"/>
      </w:pPr>
      <w:r>
        <w:rPr>
          <w:rFonts w:ascii="Arial" w:cs="Arial" w:eastAsia="Arial" w:hAnsi="Arial"/>
          <w:color w:val="1E293B"/>
          <w:sz w:val="22"/>
          <w:szCs w:val="22"/>
        </w:rPr>
        <w:t xml:space="preserve">Is there a plan for source map management for the Hermes bytecode? Without source maps, production crash debugging is very difficult.</w:t>
      </w:r>
    </w:p>
    <w:p>
      <w:pPr>
        <w:spacing w:after="80"/>
      </w:pPr>
      <w:r>
        <w:t xml:space="preserve"/>
      </w:r>
    </w:p>
    <w:p>
      <w:pPr>
        <w:pStyle w:val="Heading1"/>
        <w:spacing w:after="160" w:before="360"/>
      </w:pPr>
      <w:r>
        <w:rPr>
          <w:rFonts w:ascii="Arial" w:cs="Arial" w:eastAsia="Arial" w:hAnsi="Arial"/>
          <w:b/>
          <w:bCs/>
          <w:color w:val="0D6D62"/>
          <w:sz w:val="36"/>
          <w:szCs w:val="36"/>
        </w:rPr>
        <w:t xml:space="preserve">8. Appendix — APK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File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carereward.apk</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Size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70.9 MB (uncompressed bundle ~2.25 MB JS bytecode)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App Name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CareReward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Package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com.carereward.mobile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Version Name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1.0.0</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Version Code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1 (first Play Store build)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Expo SDK</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51.0.0</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React Native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0.74.x (Expo 51 default)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Hermes Version</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0.13.x (inferred from bundle header)</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Gradle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8.8</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Kotlin</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1.9.22</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Min Java</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17</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ABI Splits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arm64-v8a, armeabi-v7a</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DEX Files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3 (classes.dex 7.3MB, classes2.dex 1.8KB, classes3.dex 9.3MB)</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Assets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index.android.bundle (Hermes bytecode), app.config, baseline.prof</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Plugins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expo-secure-store, expo-local-authentication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Permissions (active)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USE_BIOMETRIC, USE_FINGERPRINT, POST_NOTIFICATIONS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Permissions (review needed)</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CAMERA, READ_SMS, READ_CONTACTS, READ_CALL_LOG, RECORD_AUDIO, PROCESS_OUTGOING_CALLS, BLUETOOTH_*</w:t>
            </w:r>
          </w:p>
        </w:tc>
      </w:tr>
    </w:tbl>
    <w:p>
      <w:pPr>
        <w:spacing w:after="80"/>
      </w:pPr>
      <w:r>
        <w:t xml:space="preserve"/>
      </w:r>
    </w:p>
    <w:p>
      <w:pPr>
        <w:spacing w:after="80"/>
      </w:pPr>
      <w:r>
        <w:t xml:space="preserve"/>
      </w:r>
    </w:p>
    <w:p>
      <w:pPr>
        <w:pBdr>
          <w:top w:val="single" w:color="E2E8F0" w:sz="4"/>
        </w:pBdr>
        <w:spacing w:after="80" w:before="200"/>
      </w:pPr>
      <w:r>
        <w:rPr>
          <w:rFonts w:ascii="Arial" w:cs="Arial" w:eastAsia="Arial" w:hAnsi="Arial"/>
          <w:color w:val="64748B"/>
          <w:sz w:val="18"/>
          <w:szCs w:val="18"/>
        </w:rPr>
        <w:t xml:space="preserve">TPM Review prepared from static APK analysis  |  CareReward v1.0.0  |  6/5/2026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08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6D6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2026-06-05T07:03:46.622Z</dcterms:created>
  <dcterms:modified xsi:type="dcterms:W3CDTF">2026-06-05T07:03:46.622Z</dcterms:modified>
</cp:coreProperties>
</file>

<file path=docProps/custom.xml><?xml version="1.0" encoding="utf-8"?>
<Properties xmlns="http://schemas.openxmlformats.org/officeDocument/2006/custom-properties" xmlns:vt="http://schemas.openxmlformats.org/officeDocument/2006/docPropsVTypes"/>
</file>