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B6570"/>
          <w:spacing w:val="40"/>
          <w:sz w:val="24"/>
          <w:szCs w:val="24"/>
        </w:rPr>
        <w:t xml:space="preserve">CAHIER DES CHARGES</w:t>
      </w:r>
    </w:p>
    <w:p>
      <w:pPr>
        <w:spacing w:after="120" w:before="300"/>
        <w:jc w:val="center"/>
      </w:pPr>
      <w:r>
        <w:rPr>
          <w:b/>
          <w:bCs/>
          <w:color w:val="1B2A4A"/>
          <w:sz w:val="64"/>
          <w:szCs w:val="64"/>
        </w:rPr>
        <w:t xml:space="preserve">MÉDICURE AI</w:t>
      </w:r>
    </w:p>
    <w:p>
      <w:pPr>
        <w:spacing w:after="400"/>
        <w:jc w:val="center"/>
      </w:pPr>
      <w:r>
        <w:rPr>
          <w:i/>
          <w:iCs/>
          <w:color w:val="0E7C7B"/>
          <w:sz w:val="24"/>
          <w:szCs w:val="24"/>
        </w:rPr>
        <w:t xml:space="preserve">L'intelligence artificielle qui sait ce qu'elle ne sait pas</w:t>
      </w:r>
    </w:p>
    <w:p>
      <w:pPr>
        <w:spacing w:after="60"/>
        <w:jc w:val="center"/>
      </w:pPr>
      <w:r>
        <w:rPr>
          <w:i/>
          <w:iCs/>
          <w:color w:val="5B6570"/>
          <w:sz w:val="22"/>
          <w:szCs w:val="22"/>
        </w:rPr>
        <w:t xml:space="preserve">« L'IA observe. Le professionnel de santé décide. »</w:t>
      </w:r>
    </w:p>
    <w:p>
      <w:pPr>
        <w:spacing w:before="800"/>
        <w:jc w:val="center"/>
      </w:pPr>
      <w:r>
        <w:rPr>
          <w:color w:val="5B6570"/>
          <w:sz w:val="20"/>
          <w:szCs w:val="20"/>
        </w:rPr>
        <w:t xml:space="preserve">Plateforme d'aide au dépistage et à l'analyse d'images médicales,</w:t>
      </w:r>
    </w:p>
    <w:p>
      <w:pPr>
        <w:jc w:val="center"/>
      </w:pPr>
      <w:r>
        <w:rPr>
          <w:color w:val="5B6570"/>
          <w:sz w:val="20"/>
          <w:szCs w:val="20"/>
        </w:rPr>
        <w:t xml:space="preserve">conçue pour la fiabilité, l'explicabilité et la confiance clinique.</w:t>
      </w:r>
    </w:p>
    <w:p>
      <w:pPr>
        <w:spacing w:before="800"/>
        <w:jc w:val="center"/>
      </w:pPr>
      <w:r>
        <w:rPr>
          <w:color w:val="5B6570"/>
          <w:sz w:val="18"/>
          <w:szCs w:val="18"/>
        </w:rPr>
        <w:t xml:space="preserve">Projet présenté dans le cadre d'un hackathon d'innovation en intelligence artificielle</w:t>
      </w:r>
    </w:p>
    <w:p>
      <w:pPr>
        <w:spacing w:before="60"/>
        <w:jc w:val="center"/>
      </w:pPr>
      <w:r>
        <w:rPr>
          <w:color w:val="5B6570"/>
          <w:sz w:val="18"/>
          <w:szCs w:val="18"/>
        </w:rPr>
        <w:t xml:space="preserve">Version 2 — Édition enrichie</w:t>
      </w:r>
    </w:p>
    <w:p>
      <w:r>
        <w:br w:type="page"/>
      </w:r>
    </w:p>
    <w:p>
      <w:pPr>
        <w:pStyle w:val="Heading1"/>
        <w:pBdr>
          <w:bottom w:val="single" w:color="0E7C7B" w:sz="8" w:space="4"/>
        </w:pBdr>
        <w:spacing w:after="200" w:before="480"/>
      </w:pPr>
      <w:r>
        <w:rPr>
          <w:b/>
          <w:bCs/>
          <w:color w:val="1B2A4A"/>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E7C7B" w:sz="8" w:space="4"/>
        </w:pBdr>
        <w:spacing w:after="200" w:before="480"/>
      </w:pPr>
      <w:r>
        <w:rPr>
          <w:b/>
          <w:bCs/>
          <w:color w:val="1B2A4A"/>
          <w:sz w:val="30"/>
          <w:szCs w:val="30"/>
        </w:rPr>
        <w:t xml:space="preserve">0. RÉSUMÉ EXÉCUTIF</w:t>
      </w:r>
    </w:p>
    <w:p>
      <w:pPr>
        <w:pStyle w:val="Heading2"/>
        <w:spacing w:after="140" w:before="320"/>
      </w:pPr>
      <w:r>
        <w:rPr>
          <w:b/>
          <w:bCs/>
          <w:color w:val="0E7C7B"/>
          <w:sz w:val="24"/>
          <w:szCs w:val="24"/>
        </w:rPr>
        <w:t xml:space="preserve">Le problème</w:t>
      </w:r>
    </w:p>
    <w:p>
      <w:pPr>
        <w:spacing w:after="140" w:line="300"/>
      </w:pPr>
      <w:r>
        <w:rPr>
          <w:color w:val="222222"/>
          <w:sz w:val="21"/>
          <w:szCs w:val="21"/>
        </w:rPr>
        <w:t xml:space="preserve">Dans de nombreux environnements de soins, les examens d'imagerie s'accumulent plus vite que les spécialistes ne peuvent les interpréter. Résultat : délais, surcharge, et un accès très inégal à une lecture experte selon la structure de soins. Le vrai danger n'est pas seulement le manque de temps humain — c'est qu'une IA mal conçue comble ce vide en répondant vite, mais sans savoir reconnaître quand elle ne sait pas.</w:t>
      </w:r>
    </w:p>
    <w:p>
      <w:pPr>
        <w:pStyle w:val="Heading2"/>
        <w:spacing w:after="140" w:before="320"/>
      </w:pPr>
      <w:r>
        <w:rPr>
          <w:b/>
          <w:bCs/>
          <w:color w:val="0E7C7B"/>
          <w:sz w:val="24"/>
          <w:szCs w:val="24"/>
        </w:rPr>
        <w:t xml:space="preserve">La solution</w:t>
      </w:r>
    </w:p>
    <w:p>
      <w:pPr>
        <w:spacing w:after="140" w:line="300"/>
      </w:pPr>
      <w:r>
        <w:rPr>
          <w:color w:val="222222"/>
          <w:sz w:val="21"/>
          <w:szCs w:val="21"/>
        </w:rPr>
        <w:t xml:space="preserve">Médicure AI est une plateforme d'aide à la lecture d'images médicales bâtie autour d'un principe simple : ne jamais présenter une supposition comme une certitude. Avant toute analyse, le système vérifie que l'image est exploitable. Avant toute conclusion, il mesure sa propre confiance. Et lorsqu'il n'est pas sûr, il le dit — en langage clair, pas en pourcentage caché.</w:t>
      </w:r>
    </w:p>
    <w:p>
      <w:pPr>
        <w:pStyle w:val="Heading2"/>
        <w:spacing w:after="140" w:before="320"/>
      </w:pPr>
      <w:r>
        <w:rPr>
          <w:b/>
          <w:bCs/>
          <w:color w:val="0E7C7B"/>
          <w:sz w:val="24"/>
          <w:szCs w:val="24"/>
        </w:rPr>
        <w:t xml:space="preserve">Ce qui nous différencie</w:t>
      </w:r>
    </w:p>
    <w:p>
      <w:pPr>
        <w:pStyle w:val="ListParagraph"/>
        <w:numPr>
          <w:ilvl w:val="0"/>
          <w:numId w:val="1"/>
        </w:numPr>
        <w:spacing w:after="80" w:line="280"/>
      </w:pPr>
      <w:r>
        <w:rPr>
          <w:b/>
          <w:bCs/>
          <w:sz w:val="21"/>
          <w:szCs w:val="21"/>
        </w:rPr>
        <w:t xml:space="preserve">Le MedGuard Engine</w:t>
      </w:r>
      <w:r>
        <w:rPr>
          <w:sz w:val="21"/>
          <w:szCs w:val="21"/>
        </w:rPr>
        <w:t xml:space="preserve"> — une couche de contrôle qui évalue qualité, confiance et cohérence avant de laisser parler le modèle de diagnostic.</w:t>
      </w:r>
    </w:p>
    <w:p>
      <w:pPr>
        <w:pStyle w:val="ListParagraph"/>
        <w:numPr>
          <w:ilvl w:val="0"/>
          <w:numId w:val="1"/>
        </w:numPr>
        <w:spacing w:after="80" w:line="280"/>
      </w:pPr>
      <w:r>
        <w:rPr>
          <w:b/>
          <w:bCs/>
          <w:sz w:val="21"/>
          <w:szCs w:val="21"/>
        </w:rPr>
        <w:t xml:space="preserve">Un indice de fiabilité unique (0–100)</w:t>
      </w:r>
      <w:r>
        <w:rPr>
          <w:sz w:val="21"/>
          <w:szCs w:val="21"/>
        </w:rPr>
        <w:t xml:space="preserve"> — un seul chiffre, une seule couleur, compréhensible en 2 secondes par un professionnel pressé.</w:t>
      </w:r>
    </w:p>
    <w:p>
      <w:pPr>
        <w:pStyle w:val="ListParagraph"/>
        <w:numPr>
          <w:ilvl w:val="0"/>
          <w:numId w:val="1"/>
        </w:numPr>
        <w:spacing w:after="80" w:line="280"/>
      </w:pPr>
      <w:r>
        <w:rPr>
          <w:b/>
          <w:bCs/>
          <w:sz w:val="21"/>
          <w:szCs w:val="21"/>
        </w:rPr>
        <w:t xml:space="preserve">Une explication en langage humain</w:t>
      </w:r>
      <w:r>
        <w:rPr>
          <w:sz w:val="21"/>
          <w:szCs w:val="21"/>
        </w:rPr>
        <w:t xml:space="preserve"> — pas juste une carte de chaleur, une phrase qui argumente comme le ferait un collègue.</w:t>
      </w:r>
    </w:p>
    <w:p>
      <w:pPr>
        <w:pStyle w:val="ListParagraph"/>
        <w:numPr>
          <w:ilvl w:val="0"/>
          <w:numId w:val="1"/>
        </w:numPr>
        <w:spacing w:after="80" w:line="280"/>
      </w:pPr>
      <w:r>
        <w:rPr>
          <w:b/>
          <w:bCs/>
          <w:sz w:val="21"/>
          <w:szCs w:val="21"/>
        </w:rPr>
        <w:t xml:space="preserve">Le courage de dire "je ne sais pas"</w:t>
      </w:r>
      <w:r>
        <w:rPr>
          <w:sz w:val="21"/>
          <w:szCs w:val="21"/>
        </w:rPr>
        <w:t xml:space="preserve"> — le seul module qu'aucun concurrent ne veut construire, parce qu'il est plus facile de toujours répondre.</w:t>
      </w:r>
    </w:p>
    <w:p>
      <w:pPr>
        <w:pStyle w:val="Heading2"/>
        <w:spacing w:after="140" w:before="320"/>
      </w:pPr>
      <w:r>
        <w:rPr>
          <w:b/>
          <w:bCs/>
          <w:color w:val="0E7C7B"/>
          <w:sz w:val="24"/>
          <w:szCs w:val="24"/>
        </w:rPr>
        <w:t xml:space="preserve">L'ambition chiffrée du MVP</w:t>
      </w:r>
    </w:p>
    <w:p>
      <w:pPr>
        <w:spacing w:after="140" w:line="300"/>
      </w:pPr>
      <w:r>
        <w:rPr>
          <w:color w:val="222222"/>
          <w:sz w:val="21"/>
          <w:szCs w:val="21"/>
        </w:rPr>
        <w:t xml:space="preserve">Sur le jeu de données ciblé (voir section 9), l'objectif du prototype est d'identifier en moins de 30 secondes 100 % des cas devant être classés en priorité haute, et de déclencher un refus de conclusion plutôt qu'une prédiction non fiable sur les images jugées insuffisantes — plutôt qu'un objectif de précision brute, qui serait trompeur sur un prototype de hackathon.</w:t>
      </w:r>
    </w:p>
    <w:p>
      <w:pPr>
        <w:pStyle w:val="Heading2"/>
        <w:spacing w:after="140" w:before="320"/>
      </w:pPr>
      <w:r>
        <w:rPr>
          <w:b/>
          <w:bCs/>
          <w:color w:val="0E7C7B"/>
          <w:sz w:val="24"/>
          <w:szCs w:val="24"/>
        </w:rPr>
        <w:t xml:space="preserve">Ce que ce document assume aussi</w:t>
      </w:r>
    </w:p>
    <w:p>
      <w:pPr>
        <w:spacing w:after="140" w:line="300"/>
      </w:pPr>
      <w:r>
        <w:rPr>
          <w:color w:val="222222"/>
          <w:sz w:val="21"/>
          <w:szCs w:val="21"/>
        </w:rPr>
        <w:t xml:space="preserve">Un projet sérieux ne cache pas ses angles morts. Ce cahier des charges intègre volontairement une analyse des incohérences, des risques éthiques, réglementaires et techniques identifiés — et la feuille de route pour les traiter (sections 12 à 14). C'est ce niveau d'honnêteté, autant que la technologie, qui doit convaincre.</w:t>
      </w:r>
    </w:p>
    <w:p>
      <w:r>
        <w:br w:type="page"/>
      </w:r>
    </w:p>
    <w:p>
      <w:pPr>
        <w:pStyle w:val="Heading1"/>
        <w:pBdr>
          <w:bottom w:val="single" w:color="0E7C7B" w:sz="8" w:space="4"/>
        </w:pBdr>
        <w:spacing w:after="200" w:before="480"/>
      </w:pPr>
      <w:r>
        <w:rPr>
          <w:b/>
          <w:bCs/>
          <w:color w:val="1B2A4A"/>
          <w:sz w:val="30"/>
          <w:szCs w:val="30"/>
        </w:rPr>
        <w:t xml:space="preserve">1. PRÉSENTATION DU PROJET</w:t>
      </w:r>
    </w:p>
    <w:p>
      <w:pPr>
        <w:pStyle w:val="Heading2"/>
        <w:spacing w:after="140" w:before="320"/>
      </w:pPr>
      <w:r>
        <w:rPr>
          <w:b/>
          <w:bCs/>
          <w:color w:val="0E7C7B"/>
          <w:sz w:val="24"/>
          <w:szCs w:val="24"/>
        </w:rPr>
        <w:t xml:space="preserve">1.1 Nom, slogan et signature</w:t>
      </w:r>
    </w:p>
    <w:p>
      <w:pPr>
        <w:spacing w:after="140" w:line="300"/>
      </w:pPr>
      <w:r>
        <w:rPr>
          <w:color w:val="222222"/>
          <w:sz w:val="21"/>
          <w:szCs w:val="21"/>
        </w:rPr>
        <w:t xml:space="preserve">Médicure AI se structure autour d'un moteur central baptisé le </w:t>
      </w:r>
    </w:p>
    <w:p>
      <w:pPr>
        <w:pBdr>
          <w:left w:val="single" w:color="1B2A4A" w:sz="24" w:space="8"/>
        </w:pBdr>
        <w:shd w:fill="F2F4F6" w:val="clear"/>
        <w:spacing w:after="200" w:before="120"/>
        <w:ind w:left="360" w:right="360"/>
      </w:pPr>
      <w:r>
        <w:rPr>
          <w:i/>
          <w:iCs/>
          <w:color w:val="1A1A1A"/>
          <w:sz w:val="21"/>
          <w:szCs w:val="21"/>
        </w:rPr>
        <w:t xml:space="preserve">MedGuard Engine — le cœur de confiance de Médicure. Il ne pose pas de diagnostic : il garantit que ce qui est présenté au professionnel est exploitable, mesuré et honnête sur ses limites.</w:t>
      </w:r>
    </w:p>
    <w:p>
      <w:pPr>
        <w:spacing w:after="140" w:line="300"/>
      </w:pPr>
      <w:r>
        <w:rPr>
          <w:color w:val="222222"/>
          <w:sz w:val="21"/>
          <w:szCs w:val="21"/>
        </w:rPr>
        <w:t xml:space="preserve">C'est cette couche — contrôle qualité, gestion de l'incertitude, explicabilité — qui constitue la signature du produit, indépendamment du modèle de vision par ordinateur utilisé en aval. Elle est conçue pour rester stable même lorsque les modèles de détection évoluent ou se multiplient (voir section 8).</w:t>
      </w:r>
    </w:p>
    <w:p>
      <w:pPr>
        <w:pStyle w:val="Heading2"/>
        <w:spacing w:after="140" w:before="320"/>
      </w:pPr>
      <w:r>
        <w:rPr>
          <w:b/>
          <w:bCs/>
          <w:color w:val="0E7C7B"/>
          <w:sz w:val="24"/>
          <w:szCs w:val="24"/>
        </w:rPr>
        <w:t xml:space="preserve">1.2 Concept</w:t>
      </w:r>
    </w:p>
    <w:p>
      <w:pPr>
        <w:spacing w:after="140" w:line="300"/>
      </w:pPr>
      <w:r>
        <w:rPr>
          <w:color w:val="222222"/>
          <w:sz w:val="21"/>
          <w:szCs w:val="21"/>
        </w:rPr>
        <w:t xml:space="preserve">Médicure AI est une plateforme d'intelligence artificielle utilisant la vision par ordinateur pour assister les professionnels de santé dans l'analyse préliminaire d'images médicales : radiographies, images microscopiques, images biologiques et photographies médicales adaptées au modèle utilisé.</w:t>
      </w:r>
    </w:p>
    <w:p>
      <w:pPr>
        <w:spacing w:after="140" w:line="300"/>
      </w:pPr>
      <w:r>
        <w:rPr>
          <w:color w:val="222222"/>
          <w:sz w:val="21"/>
          <w:szCs w:val="21"/>
        </w:rPr>
        <w:t xml:space="preserve">Médicure ne se limite pas à "image → réponse". La plateforme détermine d'abord si l'image est exploitable, identifie son contenu, analyse les zones pertinentes, recherche des anomalies, mesure son incertitude — et sait refuser de conclure.</w:t>
      </w:r>
    </w:p>
    <w:p>
      <w:r>
        <w:br w:type="page"/>
      </w:r>
    </w:p>
    <w:p>
      <w:pPr>
        <w:pStyle w:val="Heading1"/>
        <w:pBdr>
          <w:bottom w:val="single" w:color="0E7C7B" w:sz="8" w:space="4"/>
        </w:pBdr>
        <w:spacing w:after="200" w:before="480"/>
      </w:pPr>
      <w:r>
        <w:rPr>
          <w:b/>
          <w:bCs/>
          <w:color w:val="1B2A4A"/>
          <w:sz w:val="30"/>
          <w:szCs w:val="30"/>
        </w:rPr>
        <w:t xml:space="preserve">2. PROBLÉMATIQUE</w:t>
      </w:r>
    </w:p>
    <w:p>
      <w:pPr>
        <w:pStyle w:val="Heading2"/>
        <w:spacing w:after="140" w:before="320"/>
      </w:pPr>
      <w:r>
        <w:rPr>
          <w:b/>
          <w:bCs/>
          <w:color w:val="0E7C7B"/>
          <w:sz w:val="24"/>
          <w:szCs w:val="24"/>
        </w:rPr>
        <w:t xml:space="preserve">2.1 Le contexte</w:t>
      </w:r>
    </w:p>
    <w:p>
      <w:pPr>
        <w:spacing w:after="140" w:line="300"/>
      </w:pPr>
      <w:r>
        <w:rPr>
          <w:color w:val="222222"/>
          <w:sz w:val="21"/>
          <w:szCs w:val="21"/>
        </w:rPr>
        <w:t xml:space="preserve">Dans de nombreux environnements de soins, l'analyse des examens médicaux se heurte à plusieurs difficultés :</w:t>
      </w:r>
    </w:p>
    <w:p>
      <w:pPr>
        <w:pStyle w:val="ListParagraph"/>
        <w:numPr>
          <w:ilvl w:val="0"/>
          <w:numId w:val="1"/>
        </w:numPr>
        <w:spacing w:after="80" w:line="280"/>
      </w:pPr>
      <w:r>
        <w:rPr>
          <w:color w:val="222222"/>
          <w:sz w:val="21"/>
          <w:szCs w:val="21"/>
        </w:rPr>
        <w:t xml:space="preserve">Nombre limité de spécialistes disponibles</w:t>
      </w:r>
    </w:p>
    <w:p>
      <w:pPr>
        <w:pStyle w:val="ListParagraph"/>
        <w:numPr>
          <w:ilvl w:val="0"/>
          <w:numId w:val="1"/>
        </w:numPr>
        <w:spacing w:after="80" w:line="280"/>
      </w:pPr>
      <w:r>
        <w:rPr>
          <w:color w:val="222222"/>
          <w:sz w:val="21"/>
          <w:szCs w:val="21"/>
        </w:rPr>
        <w:t xml:space="preserve">Délais d'interprétation qui retardent la prise en charge</w:t>
      </w:r>
    </w:p>
    <w:p>
      <w:pPr>
        <w:pStyle w:val="ListParagraph"/>
        <w:numPr>
          <w:ilvl w:val="0"/>
          <w:numId w:val="1"/>
        </w:numPr>
        <w:spacing w:after="80" w:line="280"/>
      </w:pPr>
      <w:r>
        <w:rPr>
          <w:color w:val="222222"/>
          <w:sz w:val="21"/>
          <w:szCs w:val="21"/>
        </w:rPr>
        <w:t xml:space="preserve">Surcharge des professionnels de santé</w:t>
      </w:r>
    </w:p>
    <w:p>
      <w:pPr>
        <w:pStyle w:val="ListParagraph"/>
        <w:numPr>
          <w:ilvl w:val="0"/>
          <w:numId w:val="1"/>
        </w:numPr>
        <w:spacing w:after="80" w:line="280"/>
      </w:pPr>
      <w:r>
        <w:rPr>
          <w:color w:val="222222"/>
          <w:sz w:val="21"/>
          <w:szCs w:val="21"/>
        </w:rPr>
        <w:t xml:space="preserve">Accès inégal aux compétences spécialisées selon la structure</w:t>
      </w:r>
    </w:p>
    <w:p>
      <w:pPr>
        <w:pStyle w:val="ListParagraph"/>
        <w:numPr>
          <w:ilvl w:val="0"/>
          <w:numId w:val="1"/>
        </w:numPr>
        <w:spacing w:after="80" w:line="280"/>
      </w:pPr>
      <w:r>
        <w:rPr>
          <w:color w:val="222222"/>
          <w:sz w:val="21"/>
          <w:szCs w:val="21"/>
        </w:rPr>
        <w:t xml:space="preserve">Qualité variable des images produites sur le terrain</w:t>
      </w:r>
    </w:p>
    <w:p>
      <w:pPr>
        <w:pStyle w:val="ListParagraph"/>
        <w:numPr>
          <w:ilvl w:val="0"/>
          <w:numId w:val="1"/>
        </w:numPr>
        <w:spacing w:after="80" w:line="280"/>
      </w:pPr>
      <w:r>
        <w:rPr>
          <w:color w:val="222222"/>
          <w:sz w:val="21"/>
          <w:szCs w:val="21"/>
        </w:rPr>
        <w:t xml:space="preserve">Difficulté à analyser rapidement un grand volume d'examens</w:t>
      </w:r>
    </w:p>
    <w:p>
      <w:pPr>
        <w:pStyle w:val="ListParagraph"/>
        <w:numPr>
          <w:ilvl w:val="0"/>
          <w:numId w:val="1"/>
        </w:numPr>
        <w:spacing w:after="80" w:line="280"/>
      </w:pPr>
      <w:r>
        <w:rPr>
          <w:color w:val="222222"/>
          <w:sz w:val="21"/>
          <w:szCs w:val="21"/>
        </w:rPr>
        <w:t xml:space="preserve">Absence d'outils intelligents accessibles dans certaines structures</w:t>
      </w:r>
    </w:p>
    <w:p>
      <w:pPr>
        <w:pStyle w:val="Heading2"/>
        <w:spacing w:after="140" w:before="320"/>
      </w:pPr>
      <w:r>
        <w:rPr>
          <w:b/>
          <w:bCs/>
          <w:color w:val="0E7C7B"/>
          <w:sz w:val="24"/>
          <w:szCs w:val="24"/>
        </w:rPr>
        <w:t xml:space="preserve">2.2 Le problème qu'on oublie</w:t>
      </w:r>
    </w:p>
    <w:p>
      <w:pPr>
        <w:pBdr>
          <w:left w:val="single" w:color="B3261E" w:sz="24" w:space="8"/>
        </w:pBdr>
        <w:shd w:fill="F2F4F6" w:val="clear"/>
        <w:spacing w:after="200" w:before="120"/>
        <w:ind w:left="360" w:right="360"/>
      </w:pPr>
      <w:r>
        <w:rPr>
          <w:i/>
          <w:iCs/>
          <w:color w:val="1A1A1A"/>
          <w:sz w:val="21"/>
          <w:szCs w:val="21"/>
        </w:rPr>
        <w:t xml:space="preserve">Une intelligence artificielle ne peut pas être fiable si elle analyse aveuglément des images de mauvaise qualité ou des examens qu'elle ne sait pas correctement interpréter.</w:t>
      </w:r>
    </w:p>
    <w:p>
      <w:pPr>
        <w:spacing w:after="140" w:line="300"/>
      </w:pPr>
      <w:r>
        <w:rPr>
          <w:color w:val="222222"/>
          <w:sz w:val="21"/>
          <w:szCs w:val="21"/>
        </w:rPr>
        <w:t xml:space="preserve">Une radiographie peut être floue, trop sombre, surexposée, mal positionnée, partiellement visible, contenir plusieurs structures ou anomalies, ou être incompatible avec le modèle utilisé. Si une IA analyse malgré tout, elle produit une prédiction trompeuse — avec l'apparence de la certitude.</w:t>
      </w:r>
    </w:p>
    <w:p>
      <w:pPr>
        <w:pStyle w:val="Heading2"/>
        <w:spacing w:after="140" w:before="320"/>
      </w:pPr>
      <w:r>
        <w:rPr>
          <w:b/>
          <w:bCs/>
          <w:color w:val="0E7C7B"/>
          <w:sz w:val="24"/>
          <w:szCs w:val="24"/>
        </w:rPr>
        <w:t xml:space="preserve">2.3 Problématique centrale</w:t>
      </w:r>
    </w:p>
    <w:p>
      <w:pPr>
        <w:pBdr>
          <w:left w:val="single" w:color="1B2A4A" w:sz="24" w:space="8"/>
        </w:pBdr>
        <w:shd w:fill="F2F4F6" w:val="clear"/>
        <w:spacing w:after="200" w:before="120"/>
        <w:ind w:left="360" w:right="360"/>
      </w:pPr>
      <w:r>
        <w:rPr>
          <w:i/>
          <w:iCs/>
          <w:color w:val="1A1A1A"/>
          <w:sz w:val="21"/>
          <w:szCs w:val="21"/>
        </w:rPr>
        <w:t xml:space="preserve">Comment utiliser l'intelligence artificielle pour assister les professionnels de santé dans le dépistage de certaines anomalies médicales à partir d'images, tout en garantissant que le système sache évaluer la qualité de l'examen, reconnaître ses limites, expliquer ses prédictions et éviter de présenter une analyse incertaine comme un diagnostic ?</w:t>
      </w:r>
    </w:p>
    <w:p>
      <w:pPr>
        <w:spacing w:after="140" w:line="300"/>
      </w:pPr>
      <w:r>
        <w:rPr>
          <w:color w:val="222222"/>
          <w:sz w:val="21"/>
          <w:szCs w:val="21"/>
        </w:rPr>
        <w:t xml:space="preserve">Médicure répond à cette problématique en ajoutant une couche de contrôle, d'explicabilité et de gestion de l'incertitude autour de l'intelligence artificielle médicale — le MedGuard Engine.</w:t>
      </w:r>
    </w:p>
    <w:p>
      <w:r>
        <w:br w:type="page"/>
      </w:r>
    </w:p>
    <w:p>
      <w:pPr>
        <w:pStyle w:val="Heading1"/>
        <w:pBdr>
          <w:bottom w:val="single" w:color="0E7C7B" w:sz="8" w:space="4"/>
        </w:pBdr>
        <w:spacing w:after="200" w:before="480"/>
      </w:pPr>
      <w:r>
        <w:rPr>
          <w:b/>
          <w:bCs/>
          <w:color w:val="1B2A4A"/>
          <w:sz w:val="30"/>
          <w:szCs w:val="30"/>
        </w:rPr>
        <w:t xml:space="preserve">3. OBJECTIFS</w:t>
      </w:r>
    </w:p>
    <w:p>
      <w:pPr>
        <w:pStyle w:val="Heading2"/>
        <w:spacing w:after="140" w:before="320"/>
      </w:pPr>
      <w:r>
        <w:rPr>
          <w:b/>
          <w:bCs/>
          <w:color w:val="0E7C7B"/>
          <w:sz w:val="24"/>
          <w:szCs w:val="24"/>
        </w:rPr>
        <w:t xml:space="preserve">3.1 Objectif général</w:t>
      </w:r>
    </w:p>
    <w:p>
      <w:pPr>
        <w:spacing w:after="140" w:line="300"/>
      </w:pPr>
      <w:r>
        <w:rPr>
          <w:color w:val="222222"/>
          <w:sz w:val="21"/>
          <w:szCs w:val="21"/>
        </w:rPr>
        <w:t xml:space="preserve">Développer une plateforme intelligente capable d'aider les professionnels de santé à effectuer une première analyse d'images médicales, à identifier certaines anomalies potentielles, à mesurer honnêtement sa propre confiance, et à prioriser les examens nécessitant une attention particulière.</w:t>
      </w:r>
    </w:p>
    <w:p>
      <w:pPr>
        <w:pStyle w:val="Heading2"/>
        <w:spacing w:after="140" w:before="320"/>
      </w:pPr>
      <w:r>
        <w:rPr>
          <w:b/>
          <w:bCs/>
          <w:color w:val="0E7C7B"/>
          <w:sz w:val="24"/>
          <w:szCs w:val="24"/>
        </w:rPr>
        <w:t xml:space="preserve">3.2 Objectifs spécifiques</w:t>
      </w:r>
    </w:p>
    <w:p>
      <w:pPr>
        <w:pStyle w:val="ListParagraph"/>
        <w:numPr>
          <w:ilvl w:val="0"/>
          <w:numId w:val="1"/>
        </w:numPr>
        <w:spacing w:after="80" w:line="280"/>
      </w:pPr>
      <w:r>
        <w:rPr>
          <w:color w:val="222222"/>
          <w:sz w:val="21"/>
          <w:szCs w:val="21"/>
        </w:rPr>
        <w:t xml:space="preserve">Importer une image médicale et vérifier automatiquement sa qualité</w:t>
      </w:r>
    </w:p>
    <w:p>
      <w:pPr>
        <w:pStyle w:val="ListParagraph"/>
        <w:numPr>
          <w:ilvl w:val="0"/>
          <w:numId w:val="1"/>
        </w:numPr>
        <w:spacing w:after="80" w:line="280"/>
      </w:pPr>
      <w:r>
        <w:rPr>
          <w:color w:val="222222"/>
          <w:sz w:val="21"/>
          <w:szCs w:val="21"/>
        </w:rPr>
        <w:t xml:space="preserve">Déterminer si l'image est exploitable et identifier le type d'examen</w:t>
      </w:r>
    </w:p>
    <w:p>
      <w:pPr>
        <w:pStyle w:val="ListParagraph"/>
        <w:numPr>
          <w:ilvl w:val="0"/>
          <w:numId w:val="1"/>
        </w:numPr>
        <w:spacing w:after="80" w:line="280"/>
      </w:pPr>
      <w:r>
        <w:rPr>
          <w:color w:val="222222"/>
          <w:sz w:val="21"/>
          <w:szCs w:val="21"/>
        </w:rPr>
        <w:t xml:space="preserve">Identifier les structures ou zones anatomiques pertinentes</w:t>
      </w:r>
    </w:p>
    <w:p>
      <w:pPr>
        <w:pStyle w:val="ListParagraph"/>
        <w:numPr>
          <w:ilvl w:val="0"/>
          <w:numId w:val="1"/>
        </w:numPr>
        <w:spacing w:after="80" w:line="280"/>
      </w:pPr>
      <w:r>
        <w:rPr>
          <w:color w:val="222222"/>
          <w:sz w:val="21"/>
          <w:szCs w:val="21"/>
        </w:rPr>
        <w:t xml:space="preserve">Analyser plusieurs anomalies potentielles dans une même image</w:t>
      </w:r>
    </w:p>
    <w:p>
      <w:pPr>
        <w:pStyle w:val="ListParagraph"/>
        <w:numPr>
          <w:ilvl w:val="0"/>
          <w:numId w:val="1"/>
        </w:numPr>
        <w:spacing w:after="80" w:line="280"/>
      </w:pPr>
      <w:r>
        <w:rPr>
          <w:color w:val="222222"/>
          <w:sz w:val="21"/>
          <w:szCs w:val="21"/>
        </w:rPr>
        <w:t xml:space="preserve">Localiser les zones suspectes et expliquer la prédiction en langage clair</w:t>
      </w:r>
    </w:p>
    <w:p>
      <w:pPr>
        <w:pStyle w:val="ListParagraph"/>
        <w:numPr>
          <w:ilvl w:val="0"/>
          <w:numId w:val="1"/>
        </w:numPr>
        <w:spacing w:after="80" w:line="280"/>
      </w:pPr>
      <w:r>
        <w:rPr>
          <w:color w:val="222222"/>
          <w:sz w:val="21"/>
          <w:szCs w:val="21"/>
        </w:rPr>
        <w:t xml:space="preserve">Fournir un score de prédiction calibré, et un indice de fiabilité global</w:t>
      </w:r>
    </w:p>
    <w:p>
      <w:pPr>
        <w:pStyle w:val="ListParagraph"/>
        <w:numPr>
          <w:ilvl w:val="0"/>
          <w:numId w:val="1"/>
        </w:numPr>
        <w:spacing w:after="80" w:line="280"/>
      </w:pPr>
      <w:r>
        <w:rPr>
          <w:color w:val="222222"/>
          <w:sz w:val="21"/>
          <w:szCs w:val="21"/>
        </w:rPr>
        <w:t xml:space="preserve">Refuser de conclure lorsque l'image ou le résultat est insuffisant</w:t>
      </w:r>
    </w:p>
    <w:p>
      <w:pPr>
        <w:pStyle w:val="ListParagraph"/>
        <w:numPr>
          <w:ilvl w:val="0"/>
          <w:numId w:val="1"/>
        </w:numPr>
        <w:spacing w:after="80" w:line="280"/>
      </w:pPr>
      <w:r>
        <w:rPr>
          <w:color w:val="222222"/>
          <w:sz w:val="21"/>
          <w:szCs w:val="21"/>
        </w:rPr>
        <w:t xml:space="preserve">Relier explicitement score, incertitude et niveau de priorité clinique</w:t>
      </w:r>
    </w:p>
    <w:p>
      <w:pPr>
        <w:pStyle w:val="ListParagraph"/>
        <w:numPr>
          <w:ilvl w:val="0"/>
          <w:numId w:val="1"/>
        </w:numPr>
        <w:spacing w:after="80" w:line="280"/>
      </w:pPr>
      <w:r>
        <w:rPr>
          <w:color w:val="222222"/>
          <w:sz w:val="21"/>
          <w:szCs w:val="21"/>
        </w:rPr>
        <w:t xml:space="preserve">Générer une synthèse compréhensible et un rapport traçable</w:t>
      </w:r>
    </w:p>
    <w:p>
      <w:pPr>
        <w:pStyle w:val="ListParagraph"/>
        <w:numPr>
          <w:ilvl w:val="0"/>
          <w:numId w:val="1"/>
        </w:numPr>
        <w:spacing w:after="80" w:line="280"/>
      </w:pPr>
      <w:r>
        <w:rPr>
          <w:color w:val="222222"/>
          <w:sz w:val="21"/>
          <w:szCs w:val="21"/>
        </w:rPr>
        <w:t xml:space="preserve">Permettre l'analyse de plusieurs examens et un suivi dans le temps</w:t>
      </w:r>
    </w:p>
    <w:p>
      <w:pPr>
        <w:pStyle w:val="ListParagraph"/>
        <w:numPr>
          <w:ilvl w:val="0"/>
          <w:numId w:val="1"/>
        </w:numPr>
        <w:spacing w:after="80" w:line="280"/>
      </w:pPr>
      <w:r>
        <w:rPr>
          <w:color w:val="222222"/>
          <w:sz w:val="21"/>
          <w:szCs w:val="21"/>
        </w:rPr>
        <w:t xml:space="preserve">Conserver un historique sécurisé avec audit trail complet</w:t>
      </w:r>
    </w:p>
    <w:p>
      <w:pPr>
        <w:pStyle w:val="ListParagraph"/>
        <w:numPr>
          <w:ilvl w:val="0"/>
          <w:numId w:val="1"/>
        </w:numPr>
        <w:spacing w:after="80" w:line="280"/>
      </w:pPr>
      <w:r>
        <w:rPr>
          <w:color w:val="222222"/>
          <w:sz w:val="21"/>
          <w:szCs w:val="21"/>
        </w:rPr>
        <w:t xml:space="preserve">Maintenir le professionnel de santé au centre de la décision, en limitant activement le biais d'automatisation</w:t>
      </w:r>
    </w:p>
    <w:p>
      <w:r>
        <w:br w:type="page"/>
      </w:r>
    </w:p>
    <w:p>
      <w:pPr>
        <w:pStyle w:val="Heading1"/>
        <w:pBdr>
          <w:bottom w:val="single" w:color="0E7C7B" w:sz="8" w:space="4"/>
        </w:pBdr>
        <w:spacing w:after="200" w:before="480"/>
      </w:pPr>
      <w:r>
        <w:rPr>
          <w:b/>
          <w:bCs/>
          <w:color w:val="1B2A4A"/>
          <w:sz w:val="30"/>
          <w:szCs w:val="30"/>
        </w:rPr>
        <w:t xml:space="preserve">4. INNOVATION ET DIFFÉRENCIATEURS</w:t>
      </w:r>
    </w:p>
    <w:p>
      <w:pPr>
        <w:pStyle w:val="Heading2"/>
        <w:spacing w:after="140" w:before="320"/>
      </w:pPr>
      <w:r>
        <w:rPr>
          <w:b/>
          <w:bCs/>
          <w:color w:val="0E7C7B"/>
          <w:sz w:val="24"/>
          <w:szCs w:val="24"/>
        </w:rPr>
        <w:t xml:space="preserve">4.1 Le flux Médicure</w:t>
      </w:r>
    </w:p>
    <w:p>
      <w:pPr>
        <w:spacing w:after="140" w:line="300"/>
      </w:pPr>
      <w:r>
        <w:rPr>
          <w:color w:val="222222"/>
          <w:sz w:val="21"/>
          <w:szCs w:val="21"/>
        </w:rPr>
        <w:t xml:space="preserve">Médicure ne sera pas simplement "Image → maladie". Son fonctionnement est une chaîne de contrôle :</w:t>
      </w:r>
    </w:p>
    <w:p>
      <w:pPr>
        <w:pBdr>
          <w:left w:val="single" w:color="0E7C7B" w:sz="24" w:space="8"/>
        </w:pBdr>
        <w:shd w:fill="F2F4F6" w:val="clear"/>
        <w:spacing w:after="200" w:before="120"/>
        <w:ind w:left="360" w:right="360"/>
      </w:pPr>
      <w:r>
        <w:rPr>
          <w:i/>
          <w:iCs/>
          <w:color w:val="1A1A1A"/>
          <w:sz w:val="21"/>
          <w:szCs w:val="21"/>
        </w:rPr>
        <w:t xml:space="preserve">IMAGE → CONTRÔLE QUALITÉ → IDENTIFICATION DE L'EXAMEN → ANALYSE DES ZONES PERTINENTES → DÉTECTION DES ANOMALIES → LOCALISATION → EXPLICATION → SCORE + INCERTITUDE → INDICE DE FIABILITÉ → PRIORISATION → SYNTHÈSE → VALIDATION PAR LE PROFESSIONNEL</w:t>
      </w:r>
    </w:p>
    <w:p>
      <w:pPr>
        <w:pStyle w:val="Heading2"/>
        <w:spacing w:after="140" w:before="320"/>
      </w:pPr>
      <w:r>
        <w:rPr>
          <w:b/>
          <w:bCs/>
          <w:color w:val="0E7C7B"/>
          <w:sz w:val="24"/>
          <w:szCs w:val="24"/>
        </w:rPr>
        <w:t xml:space="preserve">4.2 Les quatre différenciateurs</w:t>
      </w:r>
    </w:p>
    <w:p>
      <w:pPr>
        <w:pStyle w:val="Heading3"/>
        <w:spacing w:after="100" w:before="220"/>
      </w:pPr>
      <w:r>
        <w:rPr>
          <w:b/>
          <w:bCs/>
          <w:color w:val="1B2A4A"/>
          <w:sz w:val="21"/>
          <w:szCs w:val="21"/>
        </w:rPr>
        <w:t xml:space="preserve">① L'indice de fiabilité global (0–100)</w:t>
      </w:r>
    </w:p>
    <w:p>
      <w:pPr>
        <w:spacing w:after="140" w:line="300"/>
      </w:pPr>
      <w:r>
        <w:rPr>
          <w:color w:val="222222"/>
          <w:sz w:val="21"/>
          <w:szCs w:val="21"/>
        </w:rPr>
        <w:t xml:space="preserve">Plutôt que de disperser l'attention sur plusieurs scores, Médicure calcule un indice unique combinant qualité d'image, confiance calibrée du modèle et cohérence des zones détectées entre elles. Un chiffre, une couleur, une décision de priorité — lisible en quelques secondes par un professionnel sous pression.</w:t>
      </w:r>
    </w:p>
    <w:p>
      <w:pPr>
        <w:pStyle w:val="Heading3"/>
        <w:spacing w:after="100" w:before="220"/>
      </w:pPr>
      <w:r>
        <w:rPr>
          <w:b/>
          <w:bCs/>
          <w:color w:val="1B2A4A"/>
          <w:sz w:val="21"/>
          <w:szCs w:val="21"/>
        </w:rPr>
        <w:t xml:space="preserve">② L'explicabilité en langage humain</w:t>
      </w:r>
    </w:p>
    <w:p>
      <w:pPr>
        <w:spacing w:after="140" w:line="300"/>
      </w:pPr>
      <w:r>
        <w:rPr>
          <w:color w:val="222222"/>
          <w:sz w:val="21"/>
          <w:szCs w:val="21"/>
        </w:rPr>
        <w:t xml:space="preserve">En complément de la carte de chaleur (technique Grad-CAM, voir section 8), le système formule une phrase explicative, par exemple : "Score élevé principalement dû à une opacité localisée dans le lobe inférieur droit, cohérente avec un épanchement." L'objectif est de transformer une boîte noire en interlocuteur qui argumente — sans jamais suggérer une cause médicale certaine.</w:t>
      </w:r>
    </w:p>
    <w:p>
      <w:pPr>
        <w:pStyle w:val="Heading3"/>
        <w:spacing w:after="100" w:before="220"/>
      </w:pPr>
      <w:r>
        <w:rPr>
          <w:b/>
          <w:bCs/>
          <w:color w:val="1B2A4A"/>
          <w:sz w:val="21"/>
          <w:szCs w:val="21"/>
        </w:rPr>
        <w:t xml:space="preserve">③ La double lecture augmentée</w:t>
      </w:r>
    </w:p>
    <w:p>
      <w:pPr>
        <w:spacing w:after="140" w:line="300"/>
      </w:pPr>
      <w:r>
        <w:rPr>
          <w:color w:val="222222"/>
          <w:sz w:val="21"/>
          <w:szCs w:val="21"/>
        </w:rPr>
        <w:t xml:space="preserve">Médicure n'est pas pensé comme un outil isolé mais comme un second regard qui enregistre les écarts entre sa prédiction et la validation ou correction du professionnel. Pour le MVP, ces écarts sont uniquement journalisés à des fins d'audit et d'amélioration future — aucun réentraînement automatique n'a lieu en production, précisément pour éviter qu'une correction humaine erronée ne soit absorbée comme vérité (voir section 12.4).</w:t>
      </w:r>
    </w:p>
    <w:p>
      <w:pPr>
        <w:pStyle w:val="Heading3"/>
        <w:spacing w:after="100" w:before="220"/>
      </w:pPr>
      <w:r>
        <w:rPr>
          <w:b/>
          <w:bCs/>
          <w:color w:val="1B2A4A"/>
          <w:sz w:val="21"/>
          <w:szCs w:val="21"/>
        </w:rPr>
        <w:t xml:space="preserve">④ Le courage de dire "je ne sais pas"</w:t>
      </w:r>
    </w:p>
    <w:p>
      <w:pPr>
        <w:spacing w:after="140" w:line="300"/>
      </w:pPr>
      <w:r>
        <w:rPr>
          <w:color w:val="222222"/>
          <w:sz w:val="21"/>
          <w:szCs w:val="21"/>
        </w:rPr>
        <w:t xml:space="preserve">La fonctionnalité la plus différenciante reste la plus simple à énoncer et la plus difficile à construire :</w:t>
      </w:r>
    </w:p>
    <w:p>
      <w:pPr>
        <w:pBdr>
          <w:left w:val="single" w:color="D98E04" w:sz="24" w:space="8"/>
        </w:pBdr>
        <w:shd w:fill="F2F4F6" w:val="clear"/>
        <w:spacing w:after="200" w:before="120"/>
        <w:ind w:left="360" w:right="360"/>
      </w:pPr>
      <w:r>
        <w:rPr>
          <w:i/>
          <w:iCs/>
          <w:color w:val="1A1A1A"/>
          <w:sz w:val="21"/>
          <w:szCs w:val="21"/>
        </w:rPr>
        <w:t xml:space="preserve">« Je ne dispose pas de suffisamment d'informations pour fournir une analyse fiable. »</w:t>
      </w:r>
    </w:p>
    <w:p>
      <w:r>
        <w:br w:type="page"/>
      </w:r>
    </w:p>
    <w:p>
      <w:pPr>
        <w:pStyle w:val="Heading1"/>
        <w:pBdr>
          <w:bottom w:val="single" w:color="0E7C7B" w:sz="8" w:space="4"/>
        </w:pBdr>
        <w:spacing w:after="200" w:before="480"/>
      </w:pPr>
      <w:r>
        <w:rPr>
          <w:b/>
          <w:bCs/>
          <w:color w:val="1B2A4A"/>
          <w:sz w:val="30"/>
          <w:szCs w:val="30"/>
        </w:rPr>
        <w:t xml:space="preserve">5. MODULES FONCTIONNELS</w:t>
      </w:r>
    </w:p>
    <w:p>
      <w:pPr>
        <w:spacing w:after="140" w:line="300"/>
      </w:pPr>
      <w:r>
        <w:rPr>
          <w:color w:val="222222"/>
          <w:sz w:val="21"/>
          <w:szCs w:val="21"/>
        </w:rPr>
        <w:t xml:space="preserve">Les modules sont regroupés en cinq familles pour plus de clarté. Pour le hackathon, seuls les modules marqués </w:t>
      </w:r>
    </w:p>
    <w:p>
      <w:pPr>
        <w:spacing w:after="200"/>
      </w:pPr>
      <w:r>
        <w:rPr>
          <w:b/>
          <w:bCs/>
          <w:color w:val="FFFFFF"/>
          <w:sz w:val="18"/>
          <w:szCs w:val="18"/>
          <w:shd w:fill="0E7C7B" w:val="clear"/>
        </w:rPr>
        <w:t xml:space="preserve"> MVP </w:t>
      </w:r>
      <w:r>
        <w:rPr>
          <w:sz w:val="21"/>
          <w:szCs w:val="21"/>
        </w:rPr>
        <w:t xml:space="preserve">  sont implémentés ; les autres relèvent de la feuille de route (section 15).</w:t>
      </w:r>
    </w:p>
    <w:p>
      <w:pPr>
        <w:pStyle w:val="Heading2"/>
        <w:spacing w:after="140" w:before="320"/>
      </w:pPr>
      <w:r>
        <w:rPr>
          <w:b/>
          <w:bCs/>
          <w:color w:val="0E7C7B"/>
          <w:sz w:val="24"/>
          <w:szCs w:val="24"/>
        </w:rPr>
        <w:t xml:space="preserve">5.1 Famille A — Acquisition et guidage</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Importation d'image (JPG, JPEG, PNG) — extension DICOM prévue en phase 2, avec traitement dédié de ses métadonnées cliniques (fenêtrage, calibration, dose), et non comme un simple format d'image supplémentaire.</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Guidage de capture : conseils en temps réel ("Rapprochez-vous de la zone à examiner", "Assurez une lumière suffisante") pour améliorer la qualité des données avant analyse.</w:t>
      </w:r>
    </w:p>
    <w:p>
      <w:pPr>
        <w:pStyle w:val="Heading2"/>
        <w:spacing w:after="140" w:before="320"/>
      </w:pPr>
      <w:r>
        <w:rPr>
          <w:b/>
          <w:bCs/>
          <w:color w:val="0E7C7B"/>
          <w:sz w:val="24"/>
          <w:szCs w:val="24"/>
        </w:rPr>
        <w:t xml:space="preserve">5.2 Famille B — Contrôle qualité (MedGuard Engine)</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Détection du flou, de la luminosité/contraste insuffisants, de la résolution trop faible, du mauvais cadrage et des artefacts.</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Rejet explicite des images non compatibles avec le modèle disponible.</w:t>
      </w:r>
    </w:p>
    <w:p>
      <w:pPr>
        <w:spacing w:after="140" w:line="300"/>
      </w:pPr>
      <w:r>
        <w:rPr>
          <w:color w:val="222222"/>
          <w:sz w:val="21"/>
          <w:szCs w:val="21"/>
        </w:rPr>
        <w:t xml:space="preserve">Exemples de messages :</w:t>
      </w:r>
    </w:p>
    <w:p>
      <w:pPr>
        <w:pStyle w:val="ListParagraph"/>
        <w:numPr>
          <w:ilvl w:val="1"/>
          <w:numId w:val="1"/>
        </w:numPr>
        <w:spacing w:after="60" w:line="260"/>
      </w:pPr>
      <w:r>
        <w:rPr>
          <w:color w:val="333333"/>
          <w:sz w:val="20"/>
          <w:szCs w:val="20"/>
        </w:rPr>
        <w:t xml:space="preserve">⚠️ Image trop floue pour une analyse fiable.</w:t>
      </w:r>
    </w:p>
    <w:p>
      <w:pPr>
        <w:pStyle w:val="ListParagraph"/>
        <w:numPr>
          <w:ilvl w:val="1"/>
          <w:numId w:val="1"/>
        </w:numPr>
        <w:spacing w:after="60" w:line="260"/>
      </w:pPr>
      <w:r>
        <w:rPr>
          <w:color w:val="333333"/>
          <w:sz w:val="20"/>
          <w:szCs w:val="20"/>
        </w:rPr>
        <w:t xml:space="preserve">⚠️ Contraste ou luminosité insuffisants.</w:t>
      </w:r>
    </w:p>
    <w:p>
      <w:pPr>
        <w:pStyle w:val="ListParagraph"/>
        <w:numPr>
          <w:ilvl w:val="1"/>
          <w:numId w:val="1"/>
        </w:numPr>
        <w:spacing w:after="60" w:line="260"/>
      </w:pPr>
      <w:r>
        <w:rPr>
          <w:color w:val="333333"/>
          <w:sz w:val="20"/>
          <w:szCs w:val="20"/>
        </w:rPr>
        <w:t xml:space="preserve">❌ Type d'image non pris en charge.</w:t>
      </w:r>
    </w:p>
    <w:p>
      <w:pPr>
        <w:pStyle w:val="Heading2"/>
        <w:spacing w:after="140" w:before="320"/>
      </w:pPr>
      <w:r>
        <w:rPr>
          <w:b/>
          <w:bCs/>
          <w:color w:val="0E7C7B"/>
          <w:sz w:val="24"/>
          <w:szCs w:val="24"/>
        </w:rPr>
        <w:t xml:space="preserve">5.3 Famille C — Analyse et détection</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Identification automatique du type d'examen (ex. « Radiographie thoracique détectée »).</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Identification des structures anatomiques pertinentes avant recherche d'anomalies.</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Détection de plusieurs anomalies potentielles dans une même image, avec score par anomalie.</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Localisation visuelle des zones suspectes (carte de chaleur Grad-CAM).</w:t>
      </w:r>
    </w:p>
    <w:p>
      <w:pPr>
        <w:pStyle w:val="ListParagraph"/>
        <w:numPr>
          <w:ilvl w:val="0"/>
          <w:numId w:val="1"/>
        </w:numPr>
        <w:spacing w:after="80" w:line="280"/>
      </w:pPr>
      <w:r>
        <w:rPr>
          <w:b/>
          <w:bCs/>
          <w:color w:val="FFFFFF"/>
          <w:sz w:val="18"/>
          <w:szCs w:val="18"/>
          <w:shd w:fill="5B6570" w:val="clear"/>
        </w:rPr>
        <w:t xml:space="preserve"> v2 </w:t>
      </w:r>
      <w:r>
        <w:rPr>
          <w:sz w:val="21"/>
          <w:szCs w:val="21"/>
        </w:rPr>
        <w:t xml:space="preserve">  Analyse conjointe de plusieurs images d'un même examen, avec synthèse globale.</w:t>
      </w:r>
    </w:p>
    <w:p>
      <w:pPr>
        <w:pStyle w:val="Heading2"/>
        <w:spacing w:after="140" w:before="320"/>
      </w:pPr>
      <w:r>
        <w:rPr>
          <w:b/>
          <w:bCs/>
          <w:color w:val="0E7C7B"/>
          <w:sz w:val="24"/>
          <w:szCs w:val="24"/>
        </w:rPr>
        <w:t xml:space="preserve">5.4 Famille D — Interprétation, confiance et priorisation</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Score de prédiction par anomalie, calibré (voir section 10.2) et non brut.</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Explication en langage humain associée à chaque zone d'intérêt.</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Indice de fiabilité global (0–100) et mécanisme de refus de conclusion.</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Niveau de priorité clinique, calculé à partir de l'indice de fiabilité et non de façon indépendante (voir règle ci-dessous).</w:t>
      </w:r>
    </w:p>
    <w:p>
      <w:pPr>
        <w:pStyle w:val="ListParagraph"/>
        <w:numPr>
          <w:ilvl w:val="0"/>
          <w:numId w:val="1"/>
        </w:numPr>
        <w:spacing w:after="80" w:line="280"/>
      </w:pPr>
      <w:r>
        <w:rPr>
          <w:b/>
          <w:bCs/>
          <w:color w:val="FFFFFF"/>
          <w:sz w:val="18"/>
          <w:szCs w:val="18"/>
          <w:shd w:fill="5B6570" w:val="clear"/>
        </w:rPr>
        <w:t xml:space="preserve"> v2 </w:t>
      </w:r>
      <w:r>
        <w:rPr>
          <w:sz w:val="21"/>
          <w:szCs w:val="21"/>
        </w:rPr>
        <w:t xml:space="preserve">  Suivi comparatif de plusieurs examens dans le temps pour un même dossier.</w:t>
      </w:r>
    </w:p>
    <w:p>
      <w:pPr>
        <w:pStyle w:val="Heading3"/>
        <w:spacing w:after="100" w:before="220"/>
      </w:pPr>
      <w:r>
        <w:rPr>
          <w:b/>
          <w:bCs/>
          <w:color w:val="1B2A4A"/>
          <w:sz w:val="21"/>
          <w:szCs w:val="21"/>
        </w:rPr>
        <w:t xml:space="preserve">Règle de correspondance score / incertitude / priorité</w:t>
      </w:r>
    </w:p>
    <w:p>
      <w:pPr>
        <w:spacing w:after="140" w:line="300"/>
      </w:pPr>
      <w:r>
        <w:rPr>
          <w:color w:val="222222"/>
          <w:sz w:val="21"/>
          <w:szCs w:val="21"/>
        </w:rPr>
        <w:t xml:space="preserve">C'est le point que la première version du cahier des charges laissait implicite — il est maintenant explicite et vérifiable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2200"/>
      </w:tblGrid>
      <w:tr>
        <w:trPr>
          <w:tblHeader/>
        </w:trPr>
        <w:tc>
          <w:tcPr>
            <w:tcW w:type="dxa" w:w="2400"/>
            <w:shd w:fill="1B2A4A" w:val="clear"/>
            <w:tcMar>
              <w:top w:type="dxa" w:w="100"/>
              <w:left w:type="dxa" w:w="120"/>
              <w:bottom w:type="dxa" w:w="100"/>
              <w:right w:type="dxa" w:w="120"/>
            </w:tcMar>
            <w:vAlign w:val="center"/>
          </w:tcPr>
          <w:p>
            <w:pPr>
              <w:spacing w:after="40"/>
            </w:pPr>
            <w:r>
              <w:rPr>
                <w:b/>
                <w:bCs/>
                <w:color w:val="FFFFFF"/>
                <w:sz w:val="19"/>
                <w:szCs w:val="19"/>
              </w:rPr>
              <w:t xml:space="preserve">Indice de fiabilité</w:t>
            </w:r>
          </w:p>
        </w:tc>
        <w:tc>
          <w:tcPr>
            <w:tcW w:type="dxa" w:w="2600"/>
            <w:shd w:fill="1B2A4A" w:val="clear"/>
            <w:tcMar>
              <w:top w:type="dxa" w:w="100"/>
              <w:left w:type="dxa" w:w="120"/>
              <w:bottom w:type="dxa" w:w="100"/>
              <w:right w:type="dxa" w:w="120"/>
            </w:tcMar>
            <w:vAlign w:val="center"/>
          </w:tcPr>
          <w:p>
            <w:pPr>
              <w:spacing w:after="40"/>
            </w:pPr>
            <w:r>
              <w:rPr>
                <w:b/>
                <w:bCs/>
                <w:color w:val="FFFFFF"/>
                <w:sz w:val="19"/>
                <w:szCs w:val="19"/>
              </w:rPr>
              <w:t xml:space="preserve">Signification</w:t>
            </w:r>
          </w:p>
        </w:tc>
        <w:tc>
          <w:tcPr>
            <w:tcW w:type="dxa" w:w="2800"/>
            <w:shd w:fill="1B2A4A" w:val="clear"/>
            <w:tcMar>
              <w:top w:type="dxa" w:w="100"/>
              <w:left w:type="dxa" w:w="120"/>
              <w:bottom w:type="dxa" w:w="100"/>
              <w:right w:type="dxa" w:w="120"/>
            </w:tcMar>
            <w:vAlign w:val="center"/>
          </w:tcPr>
          <w:p>
            <w:pPr>
              <w:spacing w:after="40"/>
            </w:pPr>
            <w:r>
              <w:rPr>
                <w:b/>
                <w:bCs/>
                <w:color w:val="FFFFFF"/>
                <w:sz w:val="19"/>
                <w:szCs w:val="19"/>
              </w:rPr>
              <w:t xml:space="preserve">Action système</w:t>
            </w:r>
          </w:p>
        </w:tc>
        <w:tc>
          <w:tcPr>
            <w:tcW w:type="dxa" w:w="2200"/>
            <w:shd w:fill="1B2A4A" w:val="clear"/>
            <w:tcMar>
              <w:top w:type="dxa" w:w="100"/>
              <w:left w:type="dxa" w:w="120"/>
              <w:bottom w:type="dxa" w:w="100"/>
              <w:right w:type="dxa" w:w="120"/>
            </w:tcMar>
            <w:vAlign w:val="center"/>
          </w:tcPr>
          <w:p>
            <w:pPr>
              <w:spacing w:after="40"/>
            </w:pPr>
            <w:r>
              <w:rPr>
                <w:b/>
                <w:bCs/>
                <w:color w:val="FFFFFF"/>
                <w:sz w:val="19"/>
                <w:szCs w:val="19"/>
              </w:rPr>
              <w:t xml:space="preserve">Priorité affichée</w:t>
            </w:r>
          </w:p>
        </w:tc>
      </w:tr>
      <w:tr>
        <w:tc>
          <w:tcPr>
            <w:tcW w:type="dxa" w:w="2400"/>
            <w:tcMar>
              <w:top w:type="dxa" w:w="100"/>
              <w:left w:type="dxa" w:w="120"/>
              <w:bottom w:type="dxa" w:w="100"/>
              <w:right w:type="dxa" w:w="120"/>
            </w:tcMar>
            <w:vAlign w:val="center"/>
          </w:tcPr>
          <w:p>
            <w:pPr>
              <w:spacing w:after="40"/>
            </w:pPr>
            <w:r>
              <w:rPr>
                <w:b w:val="false"/>
                <w:bCs w:val="false"/>
                <w:color w:val="222222"/>
                <w:sz w:val="19"/>
                <w:szCs w:val="19"/>
              </w:rPr>
              <w:t xml:space="preserve">≥ 80</w:t>
            </w:r>
          </w:p>
        </w:tc>
        <w:tc>
          <w:tcPr>
            <w:tcW w:type="dxa" w:w="2600"/>
            <w:tcMar>
              <w:top w:type="dxa" w:w="100"/>
              <w:left w:type="dxa" w:w="120"/>
              <w:bottom w:type="dxa" w:w="100"/>
              <w:right w:type="dxa" w:w="120"/>
            </w:tcMar>
            <w:vAlign w:val="center"/>
          </w:tcPr>
          <w:p>
            <w:pPr>
              <w:spacing w:after="40"/>
            </w:pPr>
            <w:r>
              <w:rPr>
                <w:b w:val="false"/>
                <w:bCs w:val="false"/>
                <w:color w:val="222222"/>
                <w:sz w:val="19"/>
                <w:szCs w:val="19"/>
              </w:rPr>
              <w:t xml:space="preserve">Confiance haute</w:t>
            </w:r>
          </w:p>
        </w:tc>
        <w:tc>
          <w:tcPr>
            <w:tcW w:type="dxa" w:w="2800"/>
            <w:tcMar>
              <w:top w:type="dxa" w:w="100"/>
              <w:left w:type="dxa" w:w="120"/>
              <w:bottom w:type="dxa" w:w="100"/>
              <w:right w:type="dxa" w:w="120"/>
            </w:tcMar>
            <w:vAlign w:val="center"/>
          </w:tcPr>
          <w:p>
            <w:pPr>
              <w:spacing w:after="40"/>
            </w:pPr>
            <w:r>
              <w:rPr>
                <w:b w:val="false"/>
                <w:bCs w:val="false"/>
                <w:color w:val="222222"/>
                <w:sz w:val="19"/>
                <w:szCs w:val="19"/>
              </w:rPr>
              <w:t xml:space="preserve">Score affiché normalement</w:t>
            </w:r>
          </w:p>
        </w:tc>
        <w:tc>
          <w:tcPr>
            <w:tcW w:type="dxa" w:w="2200"/>
            <w:tcMar>
              <w:top w:type="dxa" w:w="100"/>
              <w:left w:type="dxa" w:w="120"/>
              <w:bottom w:type="dxa" w:w="100"/>
              <w:right w:type="dxa" w:w="120"/>
            </w:tcMar>
            <w:vAlign w:val="center"/>
          </w:tcPr>
          <w:p>
            <w:pPr>
              <w:spacing w:after="40"/>
            </w:pPr>
            <w:r>
              <w:rPr>
                <w:b/>
                <w:bCs/>
                <w:color w:val="1E7B45"/>
                <w:sz w:val="19"/>
                <w:szCs w:val="19"/>
              </w:rPr>
              <w:t xml:space="preserve">🟢 Faible</w:t>
            </w:r>
          </w:p>
        </w:tc>
      </w:tr>
      <w:tr>
        <w:tc>
          <w:tcPr>
            <w:tcW w:type="dxa" w:w="2400"/>
            <w:tcMar>
              <w:top w:type="dxa" w:w="100"/>
              <w:left w:type="dxa" w:w="120"/>
              <w:bottom w:type="dxa" w:w="100"/>
              <w:right w:type="dxa" w:w="120"/>
            </w:tcMar>
            <w:vAlign w:val="center"/>
          </w:tcPr>
          <w:p>
            <w:pPr>
              <w:spacing w:after="40"/>
            </w:pPr>
            <w:r>
              <w:rPr>
                <w:b w:val="false"/>
                <w:bCs w:val="false"/>
                <w:color w:val="222222"/>
                <w:sz w:val="19"/>
                <w:szCs w:val="19"/>
              </w:rPr>
              <w:t xml:space="preserve">50 – 79</w:t>
            </w:r>
          </w:p>
        </w:tc>
        <w:tc>
          <w:tcPr>
            <w:tcW w:type="dxa" w:w="2600"/>
            <w:tcMar>
              <w:top w:type="dxa" w:w="100"/>
              <w:left w:type="dxa" w:w="120"/>
              <w:bottom w:type="dxa" w:w="100"/>
              <w:right w:type="dxa" w:w="120"/>
            </w:tcMar>
            <w:vAlign w:val="center"/>
          </w:tcPr>
          <w:p>
            <w:pPr>
              <w:spacing w:after="40"/>
            </w:pPr>
            <w:r>
              <w:rPr>
                <w:b w:val="false"/>
                <w:bCs w:val="false"/>
                <w:color w:val="222222"/>
                <w:sz w:val="19"/>
                <w:szCs w:val="19"/>
              </w:rPr>
              <w:t xml:space="preserve">Confiance modérée</w:t>
            </w:r>
          </w:p>
        </w:tc>
        <w:tc>
          <w:tcPr>
            <w:tcW w:type="dxa" w:w="2800"/>
            <w:tcMar>
              <w:top w:type="dxa" w:w="100"/>
              <w:left w:type="dxa" w:w="120"/>
              <w:bottom w:type="dxa" w:w="100"/>
              <w:right w:type="dxa" w:w="120"/>
            </w:tcMar>
            <w:vAlign w:val="center"/>
          </w:tcPr>
          <w:p>
            <w:pPr>
              <w:spacing w:after="40"/>
            </w:pPr>
            <w:r>
              <w:rPr>
                <w:b w:val="false"/>
                <w:bCs w:val="false"/>
                <w:color w:val="222222"/>
                <w:sz w:val="19"/>
                <w:szCs w:val="19"/>
              </w:rPr>
              <w:t xml:space="preserve">Score affiché + mention de vigilance</w:t>
            </w:r>
          </w:p>
        </w:tc>
        <w:tc>
          <w:tcPr>
            <w:tcW w:type="dxa" w:w="2200"/>
            <w:tcMar>
              <w:top w:type="dxa" w:w="100"/>
              <w:left w:type="dxa" w:w="120"/>
              <w:bottom w:type="dxa" w:w="100"/>
              <w:right w:type="dxa" w:w="120"/>
            </w:tcMar>
            <w:vAlign w:val="center"/>
          </w:tcPr>
          <w:p>
            <w:pPr>
              <w:spacing w:after="40"/>
            </w:pPr>
            <w:r>
              <w:rPr>
                <w:b/>
                <w:bCs/>
                <w:color w:val="D98E04"/>
                <w:sz w:val="19"/>
                <w:szCs w:val="19"/>
              </w:rPr>
              <w:t xml:space="preserve">🟠 Intermédiaire</w:t>
            </w:r>
          </w:p>
        </w:tc>
      </w:tr>
      <w:tr>
        <w:tc>
          <w:tcPr>
            <w:tcW w:type="dxa" w:w="2400"/>
            <w:tcMar>
              <w:top w:type="dxa" w:w="100"/>
              <w:left w:type="dxa" w:w="120"/>
              <w:bottom w:type="dxa" w:w="100"/>
              <w:right w:type="dxa" w:w="120"/>
            </w:tcMar>
            <w:vAlign w:val="center"/>
          </w:tcPr>
          <w:p>
            <w:pPr>
              <w:spacing w:after="40"/>
            </w:pPr>
            <w:r>
              <w:rPr>
                <w:b w:val="false"/>
                <w:bCs w:val="false"/>
                <w:color w:val="222222"/>
                <w:sz w:val="19"/>
                <w:szCs w:val="19"/>
              </w:rPr>
              <w:t xml:space="preserve">&lt; 50</w:t>
            </w:r>
          </w:p>
        </w:tc>
        <w:tc>
          <w:tcPr>
            <w:tcW w:type="dxa" w:w="2600"/>
            <w:tcMar>
              <w:top w:type="dxa" w:w="100"/>
              <w:left w:type="dxa" w:w="120"/>
              <w:bottom w:type="dxa" w:w="100"/>
              <w:right w:type="dxa" w:w="120"/>
            </w:tcMar>
            <w:vAlign w:val="center"/>
          </w:tcPr>
          <w:p>
            <w:pPr>
              <w:spacing w:after="40"/>
            </w:pPr>
            <w:r>
              <w:rPr>
                <w:b w:val="false"/>
                <w:bCs w:val="false"/>
                <w:color w:val="222222"/>
                <w:sz w:val="19"/>
                <w:szCs w:val="19"/>
              </w:rPr>
              <w:t xml:space="preserve">Confiance insuffisante</w:t>
            </w:r>
          </w:p>
        </w:tc>
        <w:tc>
          <w:tcPr>
            <w:tcW w:type="dxa" w:w="2800"/>
            <w:tcMar>
              <w:top w:type="dxa" w:w="100"/>
              <w:left w:type="dxa" w:w="120"/>
              <w:bottom w:type="dxa" w:w="100"/>
              <w:right w:type="dxa" w:w="120"/>
            </w:tcMar>
            <w:vAlign w:val="center"/>
          </w:tcPr>
          <w:p>
            <w:pPr>
              <w:spacing w:after="40"/>
            </w:pPr>
            <w:r>
              <w:rPr>
                <w:b w:val="false"/>
                <w:bCs w:val="false"/>
                <w:color w:val="222222"/>
                <w:sz w:val="19"/>
                <w:szCs w:val="19"/>
              </w:rPr>
              <w:t xml:space="preserve">Refus de conclure, vérification humaine requise</w:t>
            </w:r>
          </w:p>
        </w:tc>
        <w:tc>
          <w:tcPr>
            <w:tcW w:type="dxa" w:w="2200"/>
            <w:tcMar>
              <w:top w:type="dxa" w:w="100"/>
              <w:left w:type="dxa" w:w="120"/>
              <w:bottom w:type="dxa" w:w="100"/>
              <w:right w:type="dxa" w:w="120"/>
            </w:tcMar>
            <w:vAlign w:val="center"/>
          </w:tcPr>
          <w:p>
            <w:pPr>
              <w:spacing w:after="40"/>
            </w:pPr>
            <w:r>
              <w:rPr>
                <w:b/>
                <w:bCs/>
                <w:color w:val="B3261E"/>
                <w:sz w:val="19"/>
                <w:szCs w:val="19"/>
              </w:rPr>
              <w:t xml:space="preserve">🔴 Élevée</w:t>
            </w:r>
          </w:p>
        </w:tc>
      </w:tr>
    </w:tbl>
    <w:p>
      <w:pPr>
        <w:spacing w:after="200" w:before="160"/>
      </w:pPr>
      <w:r>
        <w:rPr>
          <w:i/>
          <w:iCs/>
          <w:color w:val="5B6570"/>
          <w:sz w:val="20"/>
          <w:szCs w:val="20"/>
        </w:rPr>
        <w:t xml:space="preserve">Un cas classé « incertain » est donc automatiquement un cas prioritaire — jamais un cas neutre. Les seuils ci-dessus sont des valeurs de départ pour le MVP, destinées à être recalibrées à partir des données de validation (section 10.2).</w:t>
      </w:r>
    </w:p>
    <w:p>
      <w:pPr>
        <w:pStyle w:val="Heading2"/>
        <w:spacing w:after="140" w:before="320"/>
      </w:pPr>
      <w:r>
        <w:rPr>
          <w:b/>
          <w:bCs/>
          <w:color w:val="0E7C7B"/>
          <w:sz w:val="24"/>
          <w:szCs w:val="24"/>
        </w:rPr>
        <w:t xml:space="preserve">5.5 Famille E — Restitution, suivi et sécurité</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Génération d'un rapport structuré et téléchargeable.</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Tableau de bord (nouvelle analyse, historique, examens prioritaires, rapports).</w:t>
      </w:r>
    </w:p>
    <w:p>
      <w:pPr>
        <w:pStyle w:val="ListParagraph"/>
        <w:numPr>
          <w:ilvl w:val="0"/>
          <w:numId w:val="1"/>
        </w:numPr>
        <w:spacing w:after="80" w:line="280"/>
      </w:pPr>
      <w:r>
        <w:rPr>
          <w:b/>
          <w:bCs/>
          <w:color w:val="FFFFFF"/>
          <w:sz w:val="18"/>
          <w:szCs w:val="18"/>
          <w:shd w:fill="0E7C7B" w:val="clear"/>
        </w:rPr>
        <w:t xml:space="preserve"> MVP </w:t>
      </w:r>
      <w:r>
        <w:rPr>
          <w:sz w:val="21"/>
          <w:szCs w:val="21"/>
        </w:rPr>
        <w:t xml:space="preserve">  Authentification, gestion des rôles, chiffrement, audit trail (voir section 12).</w:t>
      </w:r>
    </w:p>
    <w:p>
      <w:pPr>
        <w:pStyle w:val="ListParagraph"/>
        <w:numPr>
          <w:ilvl w:val="0"/>
          <w:numId w:val="1"/>
        </w:numPr>
        <w:spacing w:after="80" w:line="280"/>
      </w:pPr>
      <w:r>
        <w:rPr>
          <w:b/>
          <w:bCs/>
          <w:color w:val="FFFFFF"/>
          <w:sz w:val="18"/>
          <w:szCs w:val="18"/>
          <w:shd w:fill="5B6570" w:val="clear"/>
        </w:rPr>
        <w:t xml:space="preserve"> v2 </w:t>
      </w:r>
      <w:r>
        <w:rPr>
          <w:sz w:val="21"/>
          <w:szCs w:val="21"/>
        </w:rPr>
        <w:t xml:space="preserve">  Suivi longitudinal multi-examens par dossier, sous pseudonymisation réversible à accès contrôlé.</w:t>
      </w:r>
    </w:p>
    <w:p>
      <w:pPr>
        <w:pStyle w:val="ListParagraph"/>
        <w:numPr>
          <w:ilvl w:val="0"/>
          <w:numId w:val="1"/>
        </w:numPr>
        <w:spacing w:after="80" w:line="280"/>
      </w:pPr>
      <w:r>
        <w:rPr>
          <w:b/>
          <w:bCs/>
          <w:color w:val="FFFFFF"/>
          <w:sz w:val="18"/>
          <w:szCs w:val="18"/>
          <w:shd w:fill="5B6570" w:val="clear"/>
        </w:rPr>
        <w:t xml:space="preserve"> v3 </w:t>
      </w:r>
      <w:r>
        <w:rPr>
          <w:sz w:val="21"/>
          <w:szCs w:val="21"/>
        </w:rPr>
        <w:t xml:space="preserve">  Mode dégradé hors-ligne avec synchronisation différée (voir section 12.5 pour les risques associés).</w:t>
      </w:r>
    </w:p>
    <w:p>
      <w:r>
        <w:br w:type="page"/>
      </w:r>
    </w:p>
    <w:p>
      <w:pPr>
        <w:pStyle w:val="Heading1"/>
        <w:pBdr>
          <w:bottom w:val="single" w:color="0E7C7B" w:sz="8" w:space="4"/>
        </w:pBdr>
        <w:spacing w:after="200" w:before="480"/>
      </w:pPr>
      <w:r>
        <w:rPr>
          <w:b/>
          <w:bCs/>
          <w:color w:val="1B2A4A"/>
          <w:sz w:val="30"/>
          <w:szCs w:val="30"/>
        </w:rPr>
        <w:t xml:space="preserve">6. ARCHITECTURE TECHNIQUE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B2A4A" w:val="clear"/>
            <w:tcMar>
              <w:top w:type="dxa" w:w="100"/>
              <w:left w:type="dxa" w:w="120"/>
              <w:bottom w:type="dxa" w:w="100"/>
              <w:right w:type="dxa" w:w="120"/>
            </w:tcMar>
            <w:vAlign w:val="center"/>
          </w:tcPr>
          <w:p>
            <w:pPr>
              <w:spacing w:after="40"/>
            </w:pPr>
            <w:r>
              <w:rPr>
                <w:b/>
                <w:bCs/>
                <w:color w:val="FFFFFF"/>
                <w:sz w:val="19"/>
                <w:szCs w:val="19"/>
              </w:rPr>
              <w:t xml:space="preserve">Couche</w:t>
            </w:r>
          </w:p>
        </w:tc>
        <w:tc>
          <w:tcPr>
            <w:tcW w:type="dxa" w:w="6800"/>
            <w:shd w:fill="1B2A4A" w:val="clear"/>
            <w:tcMar>
              <w:top w:type="dxa" w:w="100"/>
              <w:left w:type="dxa" w:w="120"/>
              <w:bottom w:type="dxa" w:w="100"/>
              <w:right w:type="dxa" w:w="120"/>
            </w:tcMar>
            <w:vAlign w:val="center"/>
          </w:tcPr>
          <w:p>
            <w:pPr>
              <w:spacing w:after="40"/>
            </w:pPr>
            <w:r>
              <w:rPr>
                <w:b/>
                <w:bCs/>
                <w:color w:val="FFFFFF"/>
                <w:sz w:val="19"/>
                <w:szCs w:val="19"/>
              </w:rPr>
              <w:t xml:space="preserve">Choix technique</w:t>
            </w:r>
          </w:p>
        </w:tc>
      </w:tr>
      <w:tr>
        <w:tc>
          <w:tcPr>
            <w:tcW w:type="dxa" w:w="2600"/>
            <w:tcMar>
              <w:top w:type="dxa" w:w="100"/>
              <w:left w:type="dxa" w:w="120"/>
              <w:bottom w:type="dxa" w:w="100"/>
              <w:right w:type="dxa" w:w="120"/>
            </w:tcMar>
            <w:vAlign w:val="center"/>
          </w:tcPr>
          <w:p>
            <w:pPr>
              <w:spacing w:after="40"/>
            </w:pPr>
            <w:r>
              <w:rPr>
                <w:b w:val="false"/>
                <w:bCs w:val="false"/>
                <w:color w:val="222222"/>
                <w:sz w:val="19"/>
                <w:szCs w:val="19"/>
              </w:rPr>
              <w:t xml:space="preserve">Frontend</w:t>
            </w:r>
          </w:p>
        </w:tc>
        <w:tc>
          <w:tcPr>
            <w:tcW w:type="dxa" w:w="6800"/>
            <w:tcMar>
              <w:top w:type="dxa" w:w="100"/>
              <w:left w:type="dxa" w:w="120"/>
              <w:bottom w:type="dxa" w:w="100"/>
              <w:right w:type="dxa" w:w="120"/>
            </w:tcMar>
            <w:vAlign w:val="center"/>
          </w:tcPr>
          <w:p>
            <w:pPr>
              <w:spacing w:after="40"/>
            </w:pPr>
            <w:r>
              <w:rPr>
                <w:b w:val="false"/>
                <w:bCs w:val="false"/>
                <w:color w:val="222222"/>
                <w:sz w:val="19"/>
                <w:szCs w:val="19"/>
              </w:rPr>
              <w:t xml:space="preserve">React / Next.js ; déclinaison mobile envisageable avec Flutter ou React Native</w:t>
            </w:r>
          </w:p>
        </w:tc>
      </w:tr>
      <w:tr>
        <w:tc>
          <w:tcPr>
            <w:tcW w:type="dxa" w:w="2600"/>
            <w:tcMar>
              <w:top w:type="dxa" w:w="100"/>
              <w:left w:type="dxa" w:w="120"/>
              <w:bottom w:type="dxa" w:w="100"/>
              <w:right w:type="dxa" w:w="120"/>
            </w:tcMar>
            <w:vAlign w:val="center"/>
          </w:tcPr>
          <w:p>
            <w:pPr>
              <w:spacing w:after="40"/>
            </w:pPr>
            <w:r>
              <w:rPr>
                <w:b w:val="false"/>
                <w:bCs w:val="false"/>
                <w:color w:val="222222"/>
                <w:sz w:val="19"/>
                <w:szCs w:val="19"/>
              </w:rPr>
              <w:t xml:space="preserve">Backend</w:t>
            </w:r>
          </w:p>
        </w:tc>
        <w:tc>
          <w:tcPr>
            <w:tcW w:type="dxa" w:w="6800"/>
            <w:tcMar>
              <w:top w:type="dxa" w:w="100"/>
              <w:left w:type="dxa" w:w="120"/>
              <w:bottom w:type="dxa" w:w="100"/>
              <w:right w:type="dxa" w:w="120"/>
            </w:tcMar>
            <w:vAlign w:val="center"/>
          </w:tcPr>
          <w:p>
            <w:pPr>
              <w:spacing w:after="40"/>
            </w:pPr>
            <w:r>
              <w:rPr>
                <w:b w:val="false"/>
                <w:bCs w:val="false"/>
                <w:color w:val="222222"/>
                <w:sz w:val="19"/>
                <w:szCs w:val="19"/>
              </w:rPr>
              <w:t xml:space="preserve">Python, FastAPI, PostgreSQL</w:t>
            </w:r>
          </w:p>
        </w:tc>
      </w:tr>
      <w:tr>
        <w:tc>
          <w:tcPr>
            <w:tcW w:type="dxa" w:w="2600"/>
            <w:tcMar>
              <w:top w:type="dxa" w:w="100"/>
              <w:left w:type="dxa" w:w="120"/>
              <w:bottom w:type="dxa" w:w="100"/>
              <w:right w:type="dxa" w:w="120"/>
            </w:tcMar>
            <w:vAlign w:val="center"/>
          </w:tcPr>
          <w:p>
            <w:pPr>
              <w:spacing w:after="40"/>
            </w:pPr>
            <w:r>
              <w:rPr>
                <w:b w:val="false"/>
                <w:bCs w:val="false"/>
                <w:color w:val="222222"/>
                <w:sz w:val="19"/>
                <w:szCs w:val="19"/>
              </w:rPr>
              <w:t xml:space="preserve">IA</w:t>
            </w:r>
          </w:p>
        </w:tc>
        <w:tc>
          <w:tcPr>
            <w:tcW w:type="dxa" w:w="6800"/>
            <w:tcMar>
              <w:top w:type="dxa" w:w="100"/>
              <w:left w:type="dxa" w:w="120"/>
              <w:bottom w:type="dxa" w:w="100"/>
              <w:right w:type="dxa" w:w="120"/>
            </w:tcMar>
            <w:vAlign w:val="center"/>
          </w:tcPr>
          <w:p>
            <w:pPr>
              <w:spacing w:after="40"/>
            </w:pPr>
            <w:r>
              <w:rPr>
                <w:b w:val="false"/>
                <w:bCs w:val="false"/>
                <w:color w:val="222222"/>
                <w:sz w:val="19"/>
                <w:szCs w:val="19"/>
              </w:rPr>
              <w:t xml:space="preserve">Python, PyTorch ou TensorFlow, OpenCV, modèles de vision par ordinateur</w:t>
            </w:r>
          </w:p>
        </w:tc>
      </w:tr>
      <w:tr>
        <w:tc>
          <w:tcPr>
            <w:tcW w:type="dxa" w:w="2600"/>
            <w:tcMar>
              <w:top w:type="dxa" w:w="100"/>
              <w:left w:type="dxa" w:w="120"/>
              <w:bottom w:type="dxa" w:w="100"/>
              <w:right w:type="dxa" w:w="120"/>
            </w:tcMar>
            <w:vAlign w:val="center"/>
          </w:tcPr>
          <w:p>
            <w:pPr>
              <w:spacing w:after="40"/>
            </w:pPr>
            <w:r>
              <w:rPr>
                <w:b w:val="false"/>
                <w:bCs w:val="false"/>
                <w:color w:val="222222"/>
                <w:sz w:val="19"/>
                <w:szCs w:val="19"/>
              </w:rPr>
              <w:t xml:space="preserve">Stockage</w:t>
            </w:r>
          </w:p>
        </w:tc>
        <w:tc>
          <w:tcPr>
            <w:tcW w:type="dxa" w:w="6800"/>
            <w:tcMar>
              <w:top w:type="dxa" w:w="100"/>
              <w:left w:type="dxa" w:w="120"/>
              <w:bottom w:type="dxa" w:w="100"/>
              <w:right w:type="dxa" w:w="120"/>
            </w:tcMar>
            <w:vAlign w:val="center"/>
          </w:tcPr>
          <w:p>
            <w:pPr>
              <w:spacing w:after="40"/>
            </w:pPr>
            <w:r>
              <w:rPr>
                <w:b w:val="false"/>
                <w:bCs w:val="false"/>
                <w:color w:val="222222"/>
                <w:sz w:val="19"/>
                <w:szCs w:val="19"/>
              </w:rPr>
              <w:t xml:space="preserve">Stockage chiffré des images et rapports, séparé des identifiants patients</w:t>
            </w:r>
          </w:p>
        </w:tc>
      </w:tr>
      <w:tr>
        <w:tc>
          <w:tcPr>
            <w:tcW w:type="dxa" w:w="2600"/>
            <w:tcMar>
              <w:top w:type="dxa" w:w="100"/>
              <w:left w:type="dxa" w:w="120"/>
              <w:bottom w:type="dxa" w:w="100"/>
              <w:right w:type="dxa" w:w="120"/>
            </w:tcMar>
            <w:vAlign w:val="center"/>
          </w:tcPr>
          <w:p>
            <w:pPr>
              <w:spacing w:after="40"/>
            </w:pPr>
            <w:r>
              <w:rPr>
                <w:b w:val="false"/>
                <w:bCs w:val="false"/>
                <w:color w:val="222222"/>
                <w:sz w:val="19"/>
                <w:szCs w:val="19"/>
              </w:rPr>
              <w:t xml:space="preserve">Déploiement</w:t>
            </w:r>
          </w:p>
        </w:tc>
        <w:tc>
          <w:tcPr>
            <w:tcW w:type="dxa" w:w="6800"/>
            <w:tcMar>
              <w:top w:type="dxa" w:w="100"/>
              <w:left w:type="dxa" w:w="120"/>
              <w:bottom w:type="dxa" w:w="100"/>
              <w:right w:type="dxa" w:w="120"/>
            </w:tcMar>
            <w:vAlign w:val="center"/>
          </w:tcPr>
          <w:p>
            <w:pPr>
              <w:spacing w:after="40"/>
            </w:pPr>
            <w:r>
              <w:rPr>
                <w:b w:val="false"/>
                <w:bCs w:val="false"/>
                <w:color w:val="222222"/>
                <w:sz w:val="19"/>
                <w:szCs w:val="19"/>
              </w:rPr>
              <w:t xml:space="preserve">Docker ; infrastructure cloud ou serveur local selon les contraintes de la structure</w:t>
            </w:r>
          </w:p>
        </w:tc>
      </w:tr>
    </w:tbl>
    <w:p>
      <w:pPr>
        <w:spacing w:after="0" w:before="200"/>
      </w:pPr>
      <w:r>
        <w:rPr>
          <w:sz w:val="2"/>
          <w:szCs w:val="2"/>
        </w:rPr>
        <w:t xml:space="preserve"> </w:t>
      </w:r>
    </w:p>
    <w:p>
      <w:r>
        <w:br w:type="page"/>
      </w:r>
    </w:p>
    <w:p>
      <w:pPr>
        <w:pStyle w:val="Heading1"/>
        <w:pBdr>
          <w:bottom w:val="single" w:color="0E7C7B" w:sz="8" w:space="4"/>
        </w:pBdr>
        <w:spacing w:after="200" w:before="480"/>
      </w:pPr>
      <w:r>
        <w:rPr>
          <w:b/>
          <w:bCs/>
          <w:color w:val="1B2A4A"/>
          <w:sz w:val="30"/>
          <w:szCs w:val="30"/>
        </w:rPr>
        <w:t xml:space="preserve">7. ARCHITECTURE DE L'INTELLIGENCE ARTIFICIELLE</w:t>
      </w:r>
    </w:p>
    <w:p>
      <w:pPr>
        <w:spacing w:after="140" w:line="300"/>
      </w:pPr>
      <w:r>
        <w:rPr>
          <w:color w:val="222222"/>
          <w:sz w:val="21"/>
          <w:szCs w:val="21"/>
        </w:rPr>
        <w:t xml:space="preserve">Médicure est organisé en composants spécialisés plutôt qu'en un modèle monolithique — ce qui permet de faire évoluer chaque brique indépendamment.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B2A4A" w:val="clear"/>
            <w:tcMar>
              <w:top w:type="dxa" w:w="100"/>
              <w:left w:type="dxa" w:w="120"/>
              <w:bottom w:type="dxa" w:w="100"/>
              <w:right w:type="dxa" w:w="120"/>
            </w:tcMar>
            <w:vAlign w:val="center"/>
          </w:tcPr>
          <w:p>
            <w:pPr>
              <w:spacing w:after="40"/>
            </w:pPr>
            <w:r>
              <w:rPr>
                <w:b/>
                <w:bCs/>
                <w:color w:val="FFFFFF"/>
                <w:sz w:val="19"/>
                <w:szCs w:val="19"/>
              </w:rPr>
              <w:t xml:space="preserve">Composant</w:t>
            </w:r>
          </w:p>
        </w:tc>
        <w:tc>
          <w:tcPr>
            <w:tcW w:type="dxa" w:w="6000"/>
            <w:shd w:fill="1B2A4A" w:val="clear"/>
            <w:tcMar>
              <w:top w:type="dxa" w:w="100"/>
              <w:left w:type="dxa" w:w="120"/>
              <w:bottom w:type="dxa" w:w="100"/>
              <w:right w:type="dxa" w:w="120"/>
            </w:tcMar>
            <w:vAlign w:val="center"/>
          </w:tcPr>
          <w:p>
            <w:pPr>
              <w:spacing w:after="40"/>
            </w:pPr>
            <w:r>
              <w:rPr>
                <w:b/>
                <w:bCs/>
                <w:color w:val="FFFFFF"/>
                <w:sz w:val="19"/>
                <w:szCs w:val="19"/>
              </w:rPr>
              <w:t xml:space="preserve">Rôle</w:t>
            </w:r>
          </w:p>
        </w:tc>
      </w:tr>
      <w:tr>
        <w:tc>
          <w:tcPr>
            <w:tcW w:type="dxa" w:w="3400"/>
            <w:tcMar>
              <w:top w:type="dxa" w:w="100"/>
              <w:left w:type="dxa" w:w="120"/>
              <w:bottom w:type="dxa" w:w="100"/>
              <w:right w:type="dxa" w:w="120"/>
            </w:tcMar>
            <w:vAlign w:val="center"/>
          </w:tcPr>
          <w:p>
            <w:pPr>
              <w:spacing w:after="40"/>
            </w:pPr>
            <w:r>
              <w:rPr>
                <w:b w:val="false"/>
                <w:bCs w:val="false"/>
                <w:color w:val="222222"/>
                <w:sz w:val="19"/>
                <w:szCs w:val="19"/>
              </w:rPr>
              <w:t xml:space="preserve">1. Image Quality Assessment</w:t>
            </w:r>
          </w:p>
        </w:tc>
        <w:tc>
          <w:tcPr>
            <w:tcW w:type="dxa" w:w="6000"/>
            <w:tcMar>
              <w:top w:type="dxa" w:w="100"/>
              <w:left w:type="dxa" w:w="120"/>
              <w:bottom w:type="dxa" w:w="100"/>
              <w:right w:type="dxa" w:w="120"/>
            </w:tcMar>
            <w:vAlign w:val="center"/>
          </w:tcPr>
          <w:p>
            <w:pPr>
              <w:spacing w:after="40"/>
            </w:pPr>
            <w:r>
              <w:rPr>
                <w:b w:val="false"/>
                <w:bCs w:val="false"/>
                <w:color w:val="222222"/>
                <w:sz w:val="19"/>
                <w:szCs w:val="19"/>
              </w:rPr>
              <w:t xml:space="preserve">Détermine si l'image est exploitable</w:t>
            </w:r>
          </w:p>
        </w:tc>
      </w:tr>
      <w:tr>
        <w:tc>
          <w:tcPr>
            <w:tcW w:type="dxa" w:w="3400"/>
            <w:tcMar>
              <w:top w:type="dxa" w:w="100"/>
              <w:left w:type="dxa" w:w="120"/>
              <w:bottom w:type="dxa" w:w="100"/>
              <w:right w:type="dxa" w:w="120"/>
            </w:tcMar>
            <w:vAlign w:val="center"/>
          </w:tcPr>
          <w:p>
            <w:pPr>
              <w:spacing w:after="40"/>
            </w:pPr>
            <w:r>
              <w:rPr>
                <w:b w:val="false"/>
                <w:bCs w:val="false"/>
                <w:color w:val="222222"/>
                <w:sz w:val="19"/>
                <w:szCs w:val="19"/>
              </w:rPr>
              <w:t xml:space="preserve">2. Exam Classification</w:t>
            </w:r>
          </w:p>
        </w:tc>
        <w:tc>
          <w:tcPr>
            <w:tcW w:type="dxa" w:w="6000"/>
            <w:tcMar>
              <w:top w:type="dxa" w:w="100"/>
              <w:left w:type="dxa" w:w="120"/>
              <w:bottom w:type="dxa" w:w="100"/>
              <w:right w:type="dxa" w:w="120"/>
            </w:tcMar>
            <w:vAlign w:val="center"/>
          </w:tcPr>
          <w:p>
            <w:pPr>
              <w:spacing w:after="40"/>
            </w:pPr>
            <w:r>
              <w:rPr>
                <w:b w:val="false"/>
                <w:bCs w:val="false"/>
                <w:color w:val="222222"/>
                <w:sz w:val="19"/>
                <w:szCs w:val="19"/>
              </w:rPr>
              <w:t xml:space="preserve">Identifie le type d'examen</w:t>
            </w:r>
          </w:p>
        </w:tc>
      </w:tr>
      <w:tr>
        <w:tc>
          <w:tcPr>
            <w:tcW w:type="dxa" w:w="3400"/>
            <w:tcMar>
              <w:top w:type="dxa" w:w="100"/>
              <w:left w:type="dxa" w:w="120"/>
              <w:bottom w:type="dxa" w:w="100"/>
              <w:right w:type="dxa" w:w="120"/>
            </w:tcMar>
            <w:vAlign w:val="center"/>
          </w:tcPr>
          <w:p>
            <w:pPr>
              <w:spacing w:after="40"/>
            </w:pPr>
            <w:r>
              <w:rPr>
                <w:b w:val="false"/>
                <w:bCs w:val="false"/>
                <w:color w:val="222222"/>
                <w:sz w:val="19"/>
                <w:szCs w:val="19"/>
              </w:rPr>
              <w:t xml:space="preserve">3. Anatomical / Region Detection</w:t>
            </w:r>
          </w:p>
        </w:tc>
        <w:tc>
          <w:tcPr>
            <w:tcW w:type="dxa" w:w="6000"/>
            <w:tcMar>
              <w:top w:type="dxa" w:w="100"/>
              <w:left w:type="dxa" w:w="120"/>
              <w:bottom w:type="dxa" w:w="100"/>
              <w:right w:type="dxa" w:w="120"/>
            </w:tcMar>
            <w:vAlign w:val="center"/>
          </w:tcPr>
          <w:p>
            <w:pPr>
              <w:spacing w:after="40"/>
            </w:pPr>
            <w:r>
              <w:rPr>
                <w:b w:val="false"/>
                <w:bCs w:val="false"/>
                <w:color w:val="222222"/>
                <w:sz w:val="19"/>
                <w:szCs w:val="19"/>
              </w:rPr>
              <w:t xml:space="preserve">Identifie les zones pertinentes</w:t>
            </w:r>
          </w:p>
        </w:tc>
      </w:tr>
      <w:tr>
        <w:tc>
          <w:tcPr>
            <w:tcW w:type="dxa" w:w="3400"/>
            <w:tcMar>
              <w:top w:type="dxa" w:w="100"/>
              <w:left w:type="dxa" w:w="120"/>
              <w:bottom w:type="dxa" w:w="100"/>
              <w:right w:type="dxa" w:w="120"/>
            </w:tcMar>
            <w:vAlign w:val="center"/>
          </w:tcPr>
          <w:p>
            <w:pPr>
              <w:spacing w:after="40"/>
            </w:pPr>
            <w:r>
              <w:rPr>
                <w:b w:val="false"/>
                <w:bCs w:val="false"/>
                <w:color w:val="222222"/>
                <w:sz w:val="19"/>
                <w:szCs w:val="19"/>
              </w:rPr>
              <w:t xml:space="preserve">4. Abnormality Detection</w:t>
            </w:r>
          </w:p>
        </w:tc>
        <w:tc>
          <w:tcPr>
            <w:tcW w:type="dxa" w:w="6000"/>
            <w:tcMar>
              <w:top w:type="dxa" w:w="100"/>
              <w:left w:type="dxa" w:w="120"/>
              <w:bottom w:type="dxa" w:w="100"/>
              <w:right w:type="dxa" w:w="120"/>
            </w:tcMar>
            <w:vAlign w:val="center"/>
          </w:tcPr>
          <w:p>
            <w:pPr>
              <w:spacing w:after="40"/>
            </w:pPr>
            <w:r>
              <w:rPr>
                <w:b w:val="false"/>
                <w:bCs w:val="false"/>
                <w:color w:val="222222"/>
                <w:sz w:val="19"/>
                <w:szCs w:val="19"/>
              </w:rPr>
              <w:t xml:space="preserve">Recherche les anomalies ciblées</w:t>
            </w:r>
          </w:p>
        </w:tc>
      </w:tr>
      <w:tr>
        <w:tc>
          <w:tcPr>
            <w:tcW w:type="dxa" w:w="3400"/>
            <w:tcMar>
              <w:top w:type="dxa" w:w="100"/>
              <w:left w:type="dxa" w:w="120"/>
              <w:bottom w:type="dxa" w:w="100"/>
              <w:right w:type="dxa" w:w="120"/>
            </w:tcMar>
            <w:vAlign w:val="center"/>
          </w:tcPr>
          <w:p>
            <w:pPr>
              <w:spacing w:after="40"/>
            </w:pPr>
            <w:r>
              <w:rPr>
                <w:b w:val="false"/>
                <w:bCs w:val="false"/>
                <w:color w:val="222222"/>
                <w:sz w:val="19"/>
                <w:szCs w:val="19"/>
              </w:rPr>
              <w:t xml:space="preserve">5. Explainability (Grad-CAM)</w:t>
            </w:r>
          </w:p>
        </w:tc>
        <w:tc>
          <w:tcPr>
            <w:tcW w:type="dxa" w:w="6000"/>
            <w:tcMar>
              <w:top w:type="dxa" w:w="100"/>
              <w:left w:type="dxa" w:w="120"/>
              <w:bottom w:type="dxa" w:w="100"/>
              <w:right w:type="dxa" w:w="120"/>
            </w:tcMar>
            <w:vAlign w:val="center"/>
          </w:tcPr>
          <w:p>
            <w:pPr>
              <w:spacing w:after="40"/>
            </w:pPr>
            <w:r>
              <w:rPr>
                <w:b w:val="false"/>
                <w:bCs w:val="false"/>
                <w:color w:val="222222"/>
                <w:sz w:val="19"/>
                <w:szCs w:val="19"/>
              </w:rPr>
              <w:t xml:space="preserve">Visualise et verbalise les régions ayant contribué à la prédiction</w:t>
            </w:r>
          </w:p>
        </w:tc>
      </w:tr>
      <w:tr>
        <w:tc>
          <w:tcPr>
            <w:tcW w:type="dxa" w:w="3400"/>
            <w:tcMar>
              <w:top w:type="dxa" w:w="100"/>
              <w:left w:type="dxa" w:w="120"/>
              <w:bottom w:type="dxa" w:w="100"/>
              <w:right w:type="dxa" w:w="120"/>
            </w:tcMar>
            <w:vAlign w:val="center"/>
          </w:tcPr>
          <w:p>
            <w:pPr>
              <w:spacing w:after="40"/>
            </w:pPr>
            <w:r>
              <w:rPr>
                <w:b w:val="false"/>
                <w:bCs w:val="false"/>
                <w:color w:val="222222"/>
                <w:sz w:val="19"/>
                <w:szCs w:val="19"/>
              </w:rPr>
              <w:t xml:space="preserve">6. Uncertainty &amp; Reliability</w:t>
            </w:r>
          </w:p>
        </w:tc>
        <w:tc>
          <w:tcPr>
            <w:tcW w:type="dxa" w:w="6000"/>
            <w:tcMar>
              <w:top w:type="dxa" w:w="100"/>
              <w:left w:type="dxa" w:w="120"/>
              <w:bottom w:type="dxa" w:w="100"/>
              <w:right w:type="dxa" w:w="120"/>
            </w:tcMar>
            <w:vAlign w:val="center"/>
          </w:tcPr>
          <w:p>
            <w:pPr>
              <w:spacing w:after="40"/>
            </w:pPr>
            <w:r>
              <w:rPr>
                <w:b w:val="false"/>
                <w:bCs w:val="false"/>
                <w:color w:val="222222"/>
                <w:sz w:val="19"/>
                <w:szCs w:val="19"/>
              </w:rPr>
              <w:t xml:space="preserve">Calcule l'indice de fiabilité global et déclenche le refus de conclusion</w:t>
            </w:r>
          </w:p>
        </w:tc>
      </w:tr>
    </w:tbl>
    <w:p>
      <w:pPr>
        <w:spacing w:before="200"/>
      </w:pPr>
      <w:r>
        <w:rPr>
          <w:sz w:val="2"/>
          <w:szCs w:val="2"/>
        </w:rPr>
        <w:t xml:space="preserve"> </w:t>
      </w:r>
    </w:p>
    <w:p>
      <w:pPr>
        <w:pStyle w:val="Heading3"/>
        <w:spacing w:after="100" w:before="220"/>
      </w:pPr>
      <w:r>
        <w:rPr>
          <w:b/>
          <w:bCs/>
          <w:color w:val="1B2A4A"/>
          <w:sz w:val="21"/>
          <w:szCs w:val="21"/>
        </w:rPr>
        <w:t xml:space="preserve">Latence et charge de calcul</w:t>
      </w:r>
    </w:p>
    <w:p>
      <w:pPr>
        <w:spacing w:after="140" w:line="300"/>
      </w:pPr>
      <w:r>
        <w:rPr>
          <w:color w:val="222222"/>
          <w:sz w:val="21"/>
          <w:szCs w:val="21"/>
        </w:rPr>
        <w:t xml:space="preserve">Six composants enchaînés impliquent un temps de traitement cumulé qui doit être mesuré et affiché comme contrainte de conception, pas laissé implicite. Cible MVP : moins de 15 secondes de bout en bout sur une image unique, sur l'infrastructure de démonstration. Cette cible sera revue selon les résultats des tests de charge.</w:t>
      </w:r>
    </w:p>
    <w:p>
      <w:r>
        <w:br w:type="page"/>
      </w:r>
    </w:p>
    <w:p>
      <w:pPr>
        <w:pStyle w:val="Heading1"/>
        <w:pBdr>
          <w:bottom w:val="single" w:color="0E7C7B" w:sz="8" w:space="4"/>
        </w:pBdr>
        <w:spacing w:after="200" w:before="480"/>
      </w:pPr>
      <w:r>
        <w:rPr>
          <w:b/>
          <w:bCs/>
          <w:color w:val="1B2A4A"/>
          <w:sz w:val="30"/>
          <w:szCs w:val="30"/>
        </w:rPr>
        <w:t xml:space="preserve">8. DONNÉES D'ENTRAÎNEMENT, BIAIS ET CALIBRATION</w:t>
      </w:r>
    </w:p>
    <w:p>
      <w:pPr>
        <w:pStyle w:val="Heading2"/>
        <w:spacing w:after="140" w:before="320"/>
      </w:pPr>
      <w:r>
        <w:rPr>
          <w:b/>
          <w:bCs/>
          <w:color w:val="0E7C7B"/>
          <w:sz w:val="24"/>
          <w:szCs w:val="24"/>
        </w:rPr>
        <w:t xml:space="preserve">8.1 Jeu de données ciblé pour le MVP</w:t>
      </w:r>
    </w:p>
    <w:p>
      <w:pPr>
        <w:spacing w:after="140" w:line="300"/>
      </w:pPr>
      <w:r>
        <w:rPr>
          <w:color w:val="222222"/>
          <w:sz w:val="21"/>
          <w:szCs w:val="21"/>
        </w:rPr>
        <w:t xml:space="preserve">Pour rester crédible face à un jury, le MVP s'appuie sur un dataset public reconnu plutôt qu'une source non précisée :</w:t>
      </w:r>
    </w:p>
    <w:p>
      <w:pPr>
        <w:pStyle w:val="ListParagraph"/>
        <w:numPr>
          <w:ilvl w:val="0"/>
          <w:numId w:val="1"/>
        </w:numPr>
        <w:spacing w:after="80" w:line="280"/>
      </w:pPr>
      <w:r>
        <w:rPr>
          <w:color w:val="222222"/>
          <w:sz w:val="21"/>
          <w:szCs w:val="21"/>
        </w:rPr>
        <w:t xml:space="preserve">NIH ChestX-ray14 et/ou CheXpert (Stanford) — radiographies thoraciques annotées, largement utilisées comme référence académique.</w:t>
      </w:r>
    </w:p>
    <w:p>
      <w:pPr>
        <w:pStyle w:val="ListParagraph"/>
        <w:numPr>
          <w:ilvl w:val="0"/>
          <w:numId w:val="1"/>
        </w:numPr>
        <w:spacing w:after="80" w:line="280"/>
      </w:pPr>
      <w:r>
        <w:rPr>
          <w:color w:val="222222"/>
          <w:sz w:val="21"/>
          <w:szCs w:val="21"/>
        </w:rPr>
        <w:t xml:space="preserve">Sous-ensemble limité à un nombre fermé de pathologies pour le prototype (voir section 13), plutôt qu'une liste ouverte.</w:t>
      </w:r>
    </w:p>
    <w:p>
      <w:pPr>
        <w:pStyle w:val="Heading2"/>
        <w:spacing w:after="140" w:before="320"/>
      </w:pPr>
      <w:r>
        <w:rPr>
          <w:b/>
          <w:bCs/>
          <w:color w:val="0E7C7B"/>
          <w:sz w:val="24"/>
          <w:szCs w:val="24"/>
        </w:rPr>
        <w:t xml:space="preserve">8.2 Biais algorithmique — traité explicitement</w:t>
      </w:r>
    </w:p>
    <w:p>
      <w:pPr>
        <w:spacing w:after="140" w:line="300"/>
      </w:pPr>
      <w:r>
        <w:rPr>
          <w:color w:val="222222"/>
          <w:sz w:val="21"/>
          <w:szCs w:val="21"/>
        </w:rPr>
        <w:t xml:space="preserve">Les performances d'un modèle de ce type varient selon l'origine démographique, l'âge, la morphologie et l'appareil d'acquisition. Médicure s'engage à :</w:t>
      </w:r>
    </w:p>
    <w:p>
      <w:pPr>
        <w:pStyle w:val="ListParagraph"/>
        <w:numPr>
          <w:ilvl w:val="0"/>
          <w:numId w:val="1"/>
        </w:numPr>
        <w:spacing w:after="80" w:line="280"/>
      </w:pPr>
      <w:r>
        <w:rPr>
          <w:color w:val="222222"/>
          <w:sz w:val="21"/>
          <w:szCs w:val="21"/>
        </w:rPr>
        <w:t xml:space="preserve">Documenter la composition démographique du dataset d'entraînement et ses limites connues.</w:t>
      </w:r>
    </w:p>
    <w:p>
      <w:pPr>
        <w:pStyle w:val="ListParagraph"/>
        <w:numPr>
          <w:ilvl w:val="0"/>
          <w:numId w:val="1"/>
        </w:numPr>
        <w:spacing w:after="80" w:line="280"/>
      </w:pPr>
      <w:r>
        <w:rPr>
          <w:color w:val="222222"/>
          <w:sz w:val="21"/>
          <w:szCs w:val="21"/>
        </w:rPr>
        <w:t xml:space="preserve">Évaluer les performances séparément par sous-groupe lorsque les métadonnées le permettent, et publier ces écarts plutôt que les masquer.</w:t>
      </w:r>
    </w:p>
    <w:p>
      <w:pPr>
        <w:pStyle w:val="ListParagraph"/>
        <w:numPr>
          <w:ilvl w:val="0"/>
          <w:numId w:val="1"/>
        </w:numPr>
        <w:spacing w:after="80" w:line="280"/>
      </w:pPr>
      <w:r>
        <w:rPr>
          <w:color w:val="222222"/>
          <w:sz w:val="21"/>
          <w:szCs w:val="21"/>
        </w:rPr>
        <w:t xml:space="preserve">Afficher un avertissement explicite si le contexte d'usage réel diverge significativement de la population d'entraînement (distribution shift).</w:t>
      </w:r>
    </w:p>
    <w:p>
      <w:pPr>
        <w:pStyle w:val="Heading2"/>
        <w:spacing w:after="140" w:before="320"/>
      </w:pPr>
      <w:r>
        <w:rPr>
          <w:b/>
          <w:bCs/>
          <w:color w:val="0E7C7B"/>
          <w:sz w:val="24"/>
          <w:szCs w:val="24"/>
        </w:rPr>
        <w:t xml:space="preserve">8.3 Calibration du modèle</w:t>
      </w:r>
    </w:p>
    <w:p>
      <w:pPr>
        <w:spacing w:after="140" w:line="300"/>
      </w:pPr>
      <w:r>
        <w:rPr>
          <w:color w:val="222222"/>
          <w:sz w:val="21"/>
          <w:szCs w:val="21"/>
        </w:rPr>
        <w:t xml:space="preserve">Un score de confiance n'a de valeur que s'il est calibré : si le système annonce 90 % de confiance, il doit avoir raison environ 90 % du temps. L'évaluation inclura donc, en plus des métriques classiques, une courbe de calibration et un score de calibration (ex. Expected Calibration Error), condition nécessaire à la crédibilité de l'indice de fiabilité décrit en section 4.2.</w:t>
      </w:r>
    </w:p>
    <w:p>
      <w:pPr>
        <w:pStyle w:val="Heading2"/>
        <w:spacing w:after="140" w:before="320"/>
      </w:pPr>
      <w:r>
        <w:rPr>
          <w:b/>
          <w:bCs/>
          <w:color w:val="0E7C7B"/>
          <w:sz w:val="24"/>
          <w:szCs w:val="24"/>
        </w:rPr>
        <w:t xml:space="preserve">8.4 Robustesse</w:t>
      </w:r>
    </w:p>
    <w:p>
      <w:pPr>
        <w:spacing w:after="140" w:line="300"/>
      </w:pPr>
      <w:r>
        <w:rPr>
          <w:color w:val="222222"/>
          <w:sz w:val="21"/>
          <w:szCs w:val="21"/>
        </w:rPr>
        <w:t xml:space="preserve">Le modèle sera testé face à des perturbations réalistes : compression JPEG, léger recadrage, variation de bruit — pour vérifier que l'indice de fiabilité ne s'effondre pas sur des variations mineures sans rapport avec la qualité clinique réelle de l'image.</w:t>
      </w:r>
    </w:p>
    <w:p>
      <w:r>
        <w:br w:type="page"/>
      </w:r>
    </w:p>
    <w:p>
      <w:pPr>
        <w:pStyle w:val="Heading1"/>
        <w:pBdr>
          <w:bottom w:val="single" w:color="0E7C7B" w:sz="8" w:space="4"/>
        </w:pBdr>
        <w:spacing w:after="200" w:before="480"/>
      </w:pPr>
      <w:r>
        <w:rPr>
          <w:b/>
          <w:bCs/>
          <w:color w:val="1B2A4A"/>
          <w:sz w:val="30"/>
          <w:szCs w:val="30"/>
        </w:rPr>
        <w:t xml:space="preserve">9. ÉVALUATION DU MODÈLE</w:t>
      </w:r>
    </w:p>
    <w:p>
      <w:pPr>
        <w:spacing w:after="140" w:line="300"/>
      </w:pPr>
      <w:r>
        <w:rPr>
          <w:color w:val="222222"/>
          <w:sz w:val="21"/>
          <w:szCs w:val="21"/>
        </w:rPr>
        <w:t xml:space="preserve">Les performances seront évaluées avec :</w:t>
      </w:r>
    </w:p>
    <w:p>
      <w:pPr>
        <w:pStyle w:val="ListParagraph"/>
        <w:numPr>
          <w:ilvl w:val="0"/>
          <w:numId w:val="1"/>
        </w:numPr>
        <w:spacing w:after="80" w:line="280"/>
      </w:pPr>
      <w:r>
        <w:rPr>
          <w:color w:val="222222"/>
          <w:sz w:val="21"/>
          <w:szCs w:val="21"/>
        </w:rPr>
        <w:t xml:space="preserve">Sensibilité, spécificité, précision, rappel, F1-score</w:t>
      </w:r>
    </w:p>
    <w:p>
      <w:pPr>
        <w:pStyle w:val="ListParagraph"/>
        <w:numPr>
          <w:ilvl w:val="0"/>
          <w:numId w:val="1"/>
        </w:numPr>
        <w:spacing w:after="80" w:line="280"/>
      </w:pPr>
      <w:r>
        <w:rPr>
          <w:color w:val="222222"/>
          <w:sz w:val="21"/>
          <w:szCs w:val="21"/>
        </w:rPr>
        <w:t xml:space="preserve">AUC-ROC lorsque pertinent, et matrice de confusion</w:t>
      </w:r>
    </w:p>
    <w:p>
      <w:pPr>
        <w:pStyle w:val="ListParagraph"/>
        <w:numPr>
          <w:ilvl w:val="0"/>
          <w:numId w:val="1"/>
        </w:numPr>
        <w:spacing w:after="80" w:line="280"/>
      </w:pPr>
      <w:r>
        <w:rPr>
          <w:color w:val="222222"/>
          <w:sz w:val="21"/>
          <w:szCs w:val="21"/>
        </w:rPr>
        <w:t xml:space="preserve">Taux de faux positifs et de faux négatifs, avec attention particulière aux erreurs critiques (faux négatifs sur anomalies sévères)</w:t>
      </w:r>
    </w:p>
    <w:p>
      <w:pPr>
        <w:pStyle w:val="ListParagraph"/>
        <w:numPr>
          <w:ilvl w:val="0"/>
          <w:numId w:val="1"/>
        </w:numPr>
        <w:spacing w:after="80" w:line="280"/>
      </w:pPr>
      <w:r>
        <w:rPr>
          <w:color w:val="222222"/>
          <w:sz w:val="21"/>
          <w:szCs w:val="21"/>
        </w:rPr>
        <w:t xml:space="preserve">Calibration (Expected Calibration Error) — condition de validité de l'indice de fiabilité</w:t>
      </w:r>
    </w:p>
    <w:p>
      <w:pPr>
        <w:pStyle w:val="ListParagraph"/>
        <w:numPr>
          <w:ilvl w:val="0"/>
          <w:numId w:val="1"/>
        </w:numPr>
        <w:spacing w:after="80" w:line="280"/>
      </w:pPr>
      <w:r>
        <w:rPr>
          <w:color w:val="222222"/>
          <w:sz w:val="21"/>
          <w:szCs w:val="21"/>
        </w:rPr>
        <w:t xml:space="preserve">Performance par sous-groupe démographique disponible, pour documenter les biais plutôt que les ignorer</w:t>
      </w:r>
    </w:p>
    <w:p>
      <w:pPr>
        <w:spacing w:after="140" w:line="300"/>
      </w:pPr>
      <w:r>
        <w:rPr>
          <w:color w:val="222222"/>
          <w:sz w:val="21"/>
          <w:szCs w:val="21"/>
        </w:rPr>
        <w:t xml:space="preserve">Au-delà des métriques internes, une comparaison même limitée à une lecture humaine de référence sur un sous-échantillon est recommandée pour situer le système par rapport à une pratique clinique réelle — un modèle excellent sur un dataset public peut se dégrader sur des images d'un autre pays ou d'un autre appareil.</w:t>
      </w:r>
    </w:p>
    <w:p>
      <w:r>
        <w:br w:type="page"/>
      </w:r>
    </w:p>
    <w:p>
      <w:pPr>
        <w:pStyle w:val="Heading1"/>
        <w:pBdr>
          <w:bottom w:val="single" w:color="0E7C7B" w:sz="8" w:space="4"/>
        </w:pBdr>
        <w:spacing w:after="200" w:before="480"/>
      </w:pPr>
      <w:r>
        <w:rPr>
          <w:b/>
          <w:bCs/>
          <w:color w:val="1B2A4A"/>
          <w:sz w:val="30"/>
          <w:szCs w:val="30"/>
        </w:rPr>
        <w:t xml:space="preserve">10. ÉTHIQUE, RESPONSABILITÉ ET CADRE RÉGLEMENTAIRE</w:t>
      </w:r>
    </w:p>
    <w:p>
      <w:pPr>
        <w:pStyle w:val="Heading2"/>
        <w:spacing w:after="140" w:before="320"/>
      </w:pPr>
      <w:r>
        <w:rPr>
          <w:b/>
          <w:bCs/>
          <w:color w:val="0E7C7B"/>
          <w:sz w:val="24"/>
          <w:szCs w:val="24"/>
        </w:rPr>
        <w:t xml:space="preserve">10.1 Biais d'automatisation</w:t>
      </w:r>
    </w:p>
    <w:p>
      <w:pPr>
        <w:spacing w:after="140" w:line="300"/>
      </w:pPr>
      <w:r>
        <w:rPr>
          <w:color w:val="222222"/>
          <w:sz w:val="21"/>
          <w:szCs w:val="21"/>
        </w:rPr>
        <w:t xml:space="preserve">Le slogan « L'IA assiste, le professionnel décide » ne suffit pas à neutraliser un phénomène documenté : un badge coloré influence mécaniquement le jugement humain, même averti. Médicure traite ce risque activement plutôt que de l'ignorer :</w:t>
      </w:r>
    </w:p>
    <w:p>
      <w:pPr>
        <w:pStyle w:val="ListParagraph"/>
        <w:numPr>
          <w:ilvl w:val="0"/>
          <w:numId w:val="1"/>
        </w:numPr>
        <w:spacing w:after="80" w:line="280"/>
      </w:pPr>
      <w:r>
        <w:rPr>
          <w:color w:val="222222"/>
          <w:sz w:val="21"/>
          <w:szCs w:val="21"/>
        </w:rPr>
        <w:t xml:space="preserve">Les zones d'incertitude sont présentées avant le score, jamais après, pour éviter l'ancrage sur un chiffre.</w:t>
      </w:r>
    </w:p>
    <w:p>
      <w:pPr>
        <w:pStyle w:val="ListParagraph"/>
        <w:numPr>
          <w:ilvl w:val="0"/>
          <w:numId w:val="1"/>
        </w:numPr>
        <w:spacing w:after="80" w:line="280"/>
      </w:pPr>
      <w:r>
        <w:rPr>
          <w:color w:val="222222"/>
          <w:sz w:val="21"/>
          <w:szCs w:val="21"/>
        </w:rPr>
        <w:t xml:space="preserve">Aucune décision n'est pré-cochée ou suggérée comme "validée par défaut" dans l'interface.</w:t>
      </w:r>
    </w:p>
    <w:p>
      <w:pPr>
        <w:pStyle w:val="ListParagraph"/>
        <w:numPr>
          <w:ilvl w:val="0"/>
          <w:numId w:val="1"/>
        </w:numPr>
        <w:spacing w:after="80" w:line="280"/>
      </w:pPr>
      <w:r>
        <w:rPr>
          <w:color w:val="222222"/>
          <w:sz w:val="21"/>
          <w:szCs w:val="21"/>
        </w:rPr>
        <w:t xml:space="preserve">Un second avis humain est automatiquement requis au-delà d'un seuil de risque donné (voir 5.4), pas seulement recommandé.</w:t>
      </w:r>
    </w:p>
    <w:p>
      <w:pPr>
        <w:pStyle w:val="Heading2"/>
        <w:spacing w:after="140" w:before="320"/>
      </w:pPr>
      <w:r>
        <w:rPr>
          <w:b/>
          <w:bCs/>
          <w:color w:val="0E7C7B"/>
          <w:sz w:val="24"/>
          <w:szCs w:val="24"/>
        </w:rPr>
        <w:t xml:space="preserve">10.2 Position réglementaire assumée</w:t>
      </w:r>
    </w:p>
    <w:p>
      <w:pPr>
        <w:spacing w:after="140" w:line="300"/>
      </w:pPr>
      <w:r>
        <w:rPr>
          <w:color w:val="222222"/>
          <w:sz w:val="21"/>
          <w:szCs w:val="21"/>
        </w:rPr>
        <w:t xml:space="preserve">Plutôt que de renvoyer la question à plus tard, le projet prend position dès le MVP : Médicure se positionne comme un </w:t>
      </w:r>
    </w:p>
    <w:p>
      <w:pPr>
        <w:spacing w:after="140" w:line="300"/>
      </w:pPr>
      <w:r>
        <w:rPr>
          <w:b/>
          <w:bCs/>
          <w:sz w:val="21"/>
          <w:szCs w:val="21"/>
        </w:rPr>
        <w:t xml:space="preserve">outil d'aide à la décision non diagnostique</w:t>
      </w:r>
      <w:r>
        <w:rPr>
          <w:sz w:val="21"/>
          <w:szCs w:val="21"/>
        </w:rPr>
        <w:t xml:space="preserve">, en dehors du champ d'un dispositif médical au stade du prototype. Une trajectoire claire vers une classification réglementaire (ex. dispositif médical logiciel de classe IIa en zone UE, ou statut équivalent) est prévue si le produit évolue vers un usage clinique réel — avec audit externe préalable.</w:t>
      </w:r>
    </w:p>
    <w:p>
      <w:pPr>
        <w:pStyle w:val="Heading2"/>
        <w:spacing w:after="140" w:before="320"/>
      </w:pPr>
      <w:r>
        <w:rPr>
          <w:b/>
          <w:bCs/>
          <w:color w:val="0E7C7B"/>
          <w:sz w:val="24"/>
          <w:szCs w:val="24"/>
        </w:rPr>
        <w:t xml:space="preserve">10.3 Responsabilité</w:t>
      </w:r>
    </w:p>
    <w:p>
      <w:pPr>
        <w:spacing w:after="140" w:line="300"/>
      </w:pPr>
      <w:r>
        <w:rPr>
          <w:color w:val="222222"/>
          <w:sz w:val="21"/>
          <w:szCs w:val="21"/>
        </w:rPr>
        <w:t xml:space="preserve">En l'absence de statut de dispositif médical, Médicure ne peut ni ne doit engager de responsabilité diagnostique. Le rapport généré rappelle explicitement cette limite (section 14). Un cadre contractuel clair avec les structures utilisatrices, définissant la responsabilité de la validation finale, est un prérequis à tout déploiement au-delà du prototype.</w:t>
      </w:r>
    </w:p>
    <w:p>
      <w:pPr>
        <w:pStyle w:val="Heading2"/>
        <w:spacing w:after="140" w:before="320"/>
      </w:pPr>
      <w:r>
        <w:rPr>
          <w:b/>
          <w:bCs/>
          <w:color w:val="0E7C7B"/>
          <w:sz w:val="24"/>
          <w:szCs w:val="24"/>
        </w:rPr>
        <w:t xml:space="preserve">10.4 Consentement patient</w:t>
      </w:r>
    </w:p>
    <w:p>
      <w:pPr>
        <w:spacing w:after="140" w:line="300"/>
      </w:pPr>
      <w:r>
        <w:rPr>
          <w:color w:val="222222"/>
          <w:sz w:val="21"/>
          <w:szCs w:val="21"/>
        </w:rPr>
        <w:t xml:space="preserve">Toute analyse d'image par le système suppose que le patient ait été informé du recours à une aide algorithmique, avec possibilité de refus sans impact sur la qualité de sa prise en charge. Ce point, absent de la première version du document, est désormais un prérequis explicite avant tout déploiement pilote.</w:t>
      </w:r>
    </w:p>
    <w:p>
      <w:r>
        <w:br w:type="page"/>
      </w:r>
    </w:p>
    <w:p>
      <w:pPr>
        <w:pStyle w:val="Heading1"/>
        <w:pBdr>
          <w:bottom w:val="single" w:color="0E7C7B" w:sz="8" w:space="4"/>
        </w:pBdr>
        <w:spacing w:after="200" w:before="480"/>
      </w:pPr>
      <w:r>
        <w:rPr>
          <w:b/>
          <w:bCs/>
          <w:color w:val="1B2A4A"/>
          <w:sz w:val="30"/>
          <w:szCs w:val="30"/>
        </w:rPr>
        <w:t xml:space="preserve">11. SÉCURITÉ ET CONFORMITÉ</w:t>
      </w:r>
    </w:p>
    <w:p>
      <w:pPr>
        <w:spacing w:after="140" w:line="300"/>
      </w:pPr>
      <w:r>
        <w:rPr>
          <w:color w:val="222222"/>
          <w:sz w:val="21"/>
          <w:szCs w:val="21"/>
        </w:rPr>
        <w:t xml:space="preserve">Les données médicales exigent un niveau de protection élevé. Médicure prévoit :</w:t>
      </w:r>
    </w:p>
    <w:p>
      <w:pPr>
        <w:pStyle w:val="ListParagraph"/>
        <w:numPr>
          <w:ilvl w:val="0"/>
          <w:numId w:val="1"/>
        </w:numPr>
        <w:spacing w:after="80" w:line="280"/>
      </w:pPr>
      <w:r>
        <w:rPr>
          <w:color w:val="222222"/>
          <w:sz w:val="21"/>
          <w:szCs w:val="21"/>
        </w:rPr>
        <w:t xml:space="preserve">Authentification et gestion des rôles (professionnel, administrateur, auditeur)</w:t>
      </w:r>
    </w:p>
    <w:p>
      <w:pPr>
        <w:pStyle w:val="ListParagraph"/>
        <w:numPr>
          <w:ilvl w:val="0"/>
          <w:numId w:val="1"/>
        </w:numPr>
        <w:spacing w:after="80" w:line="280"/>
      </w:pPr>
      <w:r>
        <w:rPr>
          <w:color w:val="222222"/>
          <w:sz w:val="21"/>
          <w:szCs w:val="21"/>
        </w:rPr>
        <w:t xml:space="preserve">Chiffrement des communications et des données au repos</w:t>
      </w:r>
    </w:p>
    <w:p>
      <w:pPr>
        <w:pStyle w:val="ListParagraph"/>
        <w:numPr>
          <w:ilvl w:val="0"/>
          <w:numId w:val="1"/>
        </w:numPr>
        <w:spacing w:after="80" w:line="280"/>
      </w:pPr>
      <w:r>
        <w:rPr>
          <w:color w:val="222222"/>
          <w:sz w:val="21"/>
          <w:szCs w:val="21"/>
        </w:rPr>
        <w:t xml:space="preserve">Contrôle des accès strict, par rôle et par dossier</w:t>
      </w:r>
    </w:p>
    <w:p>
      <w:pPr>
        <w:pStyle w:val="ListParagraph"/>
        <w:numPr>
          <w:ilvl w:val="0"/>
          <w:numId w:val="1"/>
        </w:numPr>
        <w:spacing w:after="80" w:line="280"/>
      </w:pPr>
      <w:r>
        <w:rPr>
          <w:b/>
          <w:bCs/>
          <w:sz w:val="21"/>
          <w:szCs w:val="21"/>
        </w:rPr>
        <w:t xml:space="preserve">Audit trail complet </w:t>
      </w:r>
      <w:r>
        <w:rPr>
          <w:sz w:val="21"/>
          <w:szCs w:val="21"/>
        </w:rPr>
        <w:t xml:space="preserve">— qui a consulté quoi, qui a validé ou rejeté une prédiction, horodatage systématique — et non une simple ligne de journalisation générique.</w:t>
      </w:r>
    </w:p>
    <w:p>
      <w:pPr>
        <w:pStyle w:val="ListParagraph"/>
        <w:numPr>
          <w:ilvl w:val="0"/>
          <w:numId w:val="1"/>
        </w:numPr>
        <w:spacing w:after="80" w:line="280"/>
      </w:pPr>
      <w:r>
        <w:rPr>
          <w:color w:val="222222"/>
          <w:sz w:val="21"/>
          <w:szCs w:val="21"/>
        </w:rPr>
        <w:t xml:space="preserve">Sauvegardes sécurisées</w:t>
      </w:r>
    </w:p>
    <w:p>
      <w:pPr>
        <w:pStyle w:val="ListParagraph"/>
        <w:numPr>
          <w:ilvl w:val="0"/>
          <w:numId w:val="1"/>
        </w:numPr>
        <w:spacing w:after="80" w:line="280"/>
      </w:pPr>
      <w:r>
        <w:rPr>
          <w:b/>
          <w:bCs/>
          <w:sz w:val="21"/>
          <w:szCs w:val="21"/>
        </w:rPr>
        <w:t xml:space="preserve">Pseudonymisation réversible à accès contrôlé </w:t>
      </w:r>
      <w:r>
        <w:rPr>
          <w:sz w:val="21"/>
          <w:szCs w:val="21"/>
        </w:rPr>
        <w:t xml:space="preserve">pour concilier le suivi longitudinal (section 5.5) avec le principe de minimisation des données — les deux exigences ne peuvent pas coexister sous une anonymisation pure, ce choix est donc assumé explicitement.</w:t>
      </w:r>
    </w:p>
    <w:p>
      <w:pPr>
        <w:pStyle w:val="ListParagraph"/>
        <w:numPr>
          <w:ilvl w:val="0"/>
          <w:numId w:val="1"/>
        </w:numPr>
        <w:spacing w:after="80" w:line="280"/>
      </w:pPr>
      <w:r>
        <w:rPr>
          <w:color w:val="222222"/>
          <w:sz w:val="21"/>
          <w:szCs w:val="21"/>
        </w:rPr>
        <w:t xml:space="preserve">Minimisation des données par défaut pour tout usage ne nécessitant pas de suivi dans le temps</w:t>
      </w:r>
    </w:p>
    <w:p>
      <w:pPr>
        <w:spacing w:after="140" w:line="300"/>
      </w:pPr>
      <w:r>
        <w:rPr>
          <w:color w:val="222222"/>
          <w:sz w:val="21"/>
          <w:szCs w:val="21"/>
        </w:rPr>
        <w:t xml:space="preserve">Les exigences réglementaires locales applicables (protection des données de santé notamment) devront être étudiées avec un conseil spécialisé avant tout déploiement réel — cette étude reste, à ce stade, une limite assumée du document plutôt qu'une réponse apportée.</w:t>
      </w:r>
    </w:p>
    <w:p>
      <w:r>
        <w:br w:type="page"/>
      </w:r>
    </w:p>
    <w:p>
      <w:pPr>
        <w:pStyle w:val="Heading1"/>
        <w:pBdr>
          <w:bottom w:val="single" w:color="0E7C7B" w:sz="8" w:space="4"/>
        </w:pBdr>
        <w:spacing w:after="200" w:before="480"/>
      </w:pPr>
      <w:r>
        <w:rPr>
          <w:b/>
          <w:bCs/>
          <w:color w:val="1B2A4A"/>
          <w:sz w:val="30"/>
          <w:szCs w:val="30"/>
        </w:rPr>
        <w:t xml:space="preserve">12. REGISTRE DES RISQUES</w:t>
      </w:r>
    </w:p>
    <w:p>
      <w:pPr>
        <w:spacing w:after="140" w:line="300"/>
      </w:pPr>
      <w:r>
        <w:rPr>
          <w:color w:val="222222"/>
          <w:sz w:val="21"/>
          <w:szCs w:val="21"/>
        </w:rPr>
        <w:t xml:space="preserve">Nommer les risques est ce qui distingue un projet mûr d'une liste de fonctionnalités. Ce registre sera tenu à jour au fil du développement.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00"/>
      </w:tblGrid>
      <w:tr>
        <w:trPr>
          <w:tblHeader/>
        </w:trPr>
        <w:tc>
          <w:tcPr>
            <w:tcW w:type="dxa" w:w="3200"/>
            <w:shd w:fill="1B2A4A" w:val="clear"/>
            <w:tcMar>
              <w:top w:type="dxa" w:w="100"/>
              <w:left w:type="dxa" w:w="120"/>
              <w:bottom w:type="dxa" w:w="100"/>
              <w:right w:type="dxa" w:w="120"/>
            </w:tcMar>
            <w:vAlign w:val="center"/>
          </w:tcPr>
          <w:p>
            <w:pPr>
              <w:spacing w:after="40"/>
            </w:pPr>
            <w:r>
              <w:rPr>
                <w:b/>
                <w:bCs/>
                <w:color w:val="FFFFFF"/>
                <w:sz w:val="19"/>
                <w:szCs w:val="19"/>
              </w:rPr>
              <w:t xml:space="preserve">Risque</w:t>
            </w:r>
          </w:p>
        </w:tc>
        <w:tc>
          <w:tcPr>
            <w:tcW w:type="dxa" w:w="1400"/>
            <w:shd w:fill="1B2A4A" w:val="clear"/>
            <w:tcMar>
              <w:top w:type="dxa" w:w="100"/>
              <w:left w:type="dxa" w:w="120"/>
              <w:bottom w:type="dxa" w:w="100"/>
              <w:right w:type="dxa" w:w="120"/>
            </w:tcMar>
            <w:vAlign w:val="center"/>
          </w:tcPr>
          <w:p>
            <w:pPr>
              <w:spacing w:after="40"/>
            </w:pPr>
            <w:r>
              <w:rPr>
                <w:b/>
                <w:bCs/>
                <w:color w:val="FFFFFF"/>
                <w:sz w:val="19"/>
                <w:szCs w:val="19"/>
              </w:rPr>
              <w:t xml:space="preserve">Impact</w:t>
            </w:r>
          </w:p>
        </w:tc>
        <w:tc>
          <w:tcPr>
            <w:tcW w:type="dxa" w:w="4400"/>
            <w:shd w:fill="1B2A4A" w:val="clear"/>
            <w:tcMar>
              <w:top w:type="dxa" w:w="100"/>
              <w:left w:type="dxa" w:w="120"/>
              <w:bottom w:type="dxa" w:w="100"/>
              <w:right w:type="dxa" w:w="120"/>
            </w:tcMar>
            <w:vAlign w:val="center"/>
          </w:tcPr>
          <w:p>
            <w:pPr>
              <w:spacing w:after="40"/>
            </w:pPr>
            <w:r>
              <w:rPr>
                <w:b/>
                <w:bCs/>
                <w:color w:val="FFFFFF"/>
                <w:sz w:val="19"/>
                <w:szCs w:val="19"/>
              </w:rPr>
              <w:t xml:space="preserve">Mitigation prévue</w:t>
            </w:r>
          </w:p>
        </w:tc>
      </w:tr>
      <w:tr>
        <w:tc>
          <w:tcPr>
            <w:tcW w:type="dxa" w:w="3200"/>
            <w:tcMar>
              <w:top w:type="dxa" w:w="100"/>
              <w:left w:type="dxa" w:w="120"/>
              <w:bottom w:type="dxa" w:w="100"/>
              <w:right w:type="dxa" w:w="120"/>
            </w:tcMar>
            <w:vAlign w:val="center"/>
          </w:tcPr>
          <w:p>
            <w:pPr>
              <w:spacing w:after="40"/>
            </w:pPr>
            <w:r>
              <w:rPr>
                <w:b w:val="false"/>
                <w:bCs w:val="false"/>
                <w:color w:val="222222"/>
                <w:sz w:val="19"/>
                <w:szCs w:val="19"/>
              </w:rPr>
              <w:t xml:space="preserve">12.1 Score mal calibré perçu comme fiable</w:t>
            </w:r>
          </w:p>
        </w:tc>
        <w:tc>
          <w:tcPr>
            <w:tcW w:type="dxa" w:w="1400"/>
            <w:tcMar>
              <w:top w:type="dxa" w:w="100"/>
              <w:left w:type="dxa" w:w="120"/>
              <w:bottom w:type="dxa" w:w="100"/>
              <w:right w:type="dxa" w:w="120"/>
            </w:tcMar>
            <w:vAlign w:val="center"/>
          </w:tcPr>
          <w:p>
            <w:pPr>
              <w:spacing w:after="40"/>
            </w:pPr>
            <w:r>
              <w:rPr>
                <w:b w:val="false"/>
                <w:bCs w:val="false"/>
                <w:color w:val="222222"/>
                <w:sz w:val="19"/>
                <w:szCs w:val="19"/>
              </w:rPr>
              <w:t xml:space="preserve">Élevé</w:t>
            </w:r>
          </w:p>
        </w:tc>
        <w:tc>
          <w:tcPr>
            <w:tcW w:type="dxa" w:w="4400"/>
            <w:tcMar>
              <w:top w:type="dxa" w:w="100"/>
              <w:left w:type="dxa" w:w="120"/>
              <w:bottom w:type="dxa" w:w="100"/>
              <w:right w:type="dxa" w:w="120"/>
            </w:tcMar>
            <w:vAlign w:val="center"/>
          </w:tcPr>
          <w:p>
            <w:pPr>
              <w:spacing w:after="40"/>
            </w:pPr>
            <w:r>
              <w:rPr>
                <w:b w:val="false"/>
                <w:bCs w:val="false"/>
                <w:color w:val="222222"/>
                <w:sz w:val="19"/>
                <w:szCs w:val="19"/>
              </w:rPr>
              <w:t xml:space="preserve">Calibration obligatoire (ECE) avant tout affichage de pourcentage ; indice de fiabilité recalibré sur données de validation</w:t>
            </w:r>
          </w:p>
        </w:tc>
      </w:tr>
      <w:tr>
        <w:tc>
          <w:tcPr>
            <w:tcW w:type="dxa" w:w="3200"/>
            <w:tcMar>
              <w:top w:type="dxa" w:w="100"/>
              <w:left w:type="dxa" w:w="120"/>
              <w:bottom w:type="dxa" w:w="100"/>
              <w:right w:type="dxa" w:w="120"/>
            </w:tcMar>
            <w:vAlign w:val="center"/>
          </w:tcPr>
          <w:p>
            <w:pPr>
              <w:spacing w:after="40"/>
            </w:pPr>
            <w:r>
              <w:rPr>
                <w:b w:val="false"/>
                <w:bCs w:val="false"/>
                <w:color w:val="222222"/>
                <w:sz w:val="19"/>
                <w:szCs w:val="19"/>
              </w:rPr>
              <w:t xml:space="preserve">12.2 Biais démographique non détecté</w:t>
            </w:r>
          </w:p>
        </w:tc>
        <w:tc>
          <w:tcPr>
            <w:tcW w:type="dxa" w:w="1400"/>
            <w:tcMar>
              <w:top w:type="dxa" w:w="100"/>
              <w:left w:type="dxa" w:w="120"/>
              <w:bottom w:type="dxa" w:w="100"/>
              <w:right w:type="dxa" w:w="120"/>
            </w:tcMar>
            <w:vAlign w:val="center"/>
          </w:tcPr>
          <w:p>
            <w:pPr>
              <w:spacing w:after="40"/>
            </w:pPr>
            <w:r>
              <w:rPr>
                <w:b w:val="false"/>
                <w:bCs w:val="false"/>
                <w:color w:val="222222"/>
                <w:sz w:val="19"/>
                <w:szCs w:val="19"/>
              </w:rPr>
              <w:t xml:space="preserve">Élevé</w:t>
            </w:r>
          </w:p>
        </w:tc>
        <w:tc>
          <w:tcPr>
            <w:tcW w:type="dxa" w:w="4400"/>
            <w:tcMar>
              <w:top w:type="dxa" w:w="100"/>
              <w:left w:type="dxa" w:w="120"/>
              <w:bottom w:type="dxa" w:w="100"/>
              <w:right w:type="dxa" w:w="120"/>
            </w:tcMar>
            <w:vAlign w:val="center"/>
          </w:tcPr>
          <w:p>
            <w:pPr>
              <w:spacing w:after="40"/>
            </w:pPr>
            <w:r>
              <w:rPr>
                <w:b w:val="false"/>
                <w:bCs w:val="false"/>
                <w:color w:val="222222"/>
                <w:sz w:val="19"/>
                <w:szCs w:val="19"/>
              </w:rPr>
              <w:t xml:space="preserve">Évaluation par sous-groupe, documentation publique des limites du dataset</w:t>
            </w:r>
          </w:p>
        </w:tc>
      </w:tr>
      <w:tr>
        <w:tc>
          <w:tcPr>
            <w:tcW w:type="dxa" w:w="3200"/>
            <w:tcMar>
              <w:top w:type="dxa" w:w="100"/>
              <w:left w:type="dxa" w:w="120"/>
              <w:bottom w:type="dxa" w:w="100"/>
              <w:right w:type="dxa" w:w="120"/>
            </w:tcMar>
            <w:vAlign w:val="center"/>
          </w:tcPr>
          <w:p>
            <w:pPr>
              <w:spacing w:after="40"/>
            </w:pPr>
            <w:r>
              <w:rPr>
                <w:b w:val="false"/>
                <w:bCs w:val="false"/>
                <w:color w:val="222222"/>
                <w:sz w:val="19"/>
                <w:szCs w:val="19"/>
              </w:rPr>
              <w:t xml:space="preserve">12.3 Biais d'automatisation du professionnel</w:t>
            </w:r>
          </w:p>
        </w:tc>
        <w:tc>
          <w:tcPr>
            <w:tcW w:type="dxa" w:w="1400"/>
            <w:tcMar>
              <w:top w:type="dxa" w:w="100"/>
              <w:left w:type="dxa" w:w="120"/>
              <w:bottom w:type="dxa" w:w="100"/>
              <w:right w:type="dxa" w:w="120"/>
            </w:tcMar>
            <w:vAlign w:val="center"/>
          </w:tcPr>
          <w:p>
            <w:pPr>
              <w:spacing w:after="40"/>
            </w:pPr>
            <w:r>
              <w:rPr>
                <w:b w:val="false"/>
                <w:bCs w:val="false"/>
                <w:color w:val="222222"/>
                <w:sz w:val="19"/>
                <w:szCs w:val="19"/>
              </w:rPr>
              <w:t xml:space="preserve">Élevé</w:t>
            </w:r>
          </w:p>
        </w:tc>
        <w:tc>
          <w:tcPr>
            <w:tcW w:type="dxa" w:w="4400"/>
            <w:tcMar>
              <w:top w:type="dxa" w:w="100"/>
              <w:left w:type="dxa" w:w="120"/>
              <w:bottom w:type="dxa" w:w="100"/>
              <w:right w:type="dxa" w:w="120"/>
            </w:tcMar>
            <w:vAlign w:val="center"/>
          </w:tcPr>
          <w:p>
            <w:pPr>
              <w:spacing w:after="40"/>
            </w:pPr>
            <w:r>
              <w:rPr>
                <w:b w:val="false"/>
                <w:bCs w:val="false"/>
                <w:color w:val="222222"/>
                <w:sz w:val="19"/>
                <w:szCs w:val="19"/>
              </w:rPr>
              <w:t xml:space="preserve">Ordre d'affichage incertitude-avant-score, second avis obligatoire au-delà d'un seuil</w:t>
            </w:r>
          </w:p>
        </w:tc>
      </w:tr>
      <w:tr>
        <w:tc>
          <w:tcPr>
            <w:tcW w:type="dxa" w:w="3200"/>
            <w:tcMar>
              <w:top w:type="dxa" w:w="100"/>
              <w:left w:type="dxa" w:w="120"/>
              <w:bottom w:type="dxa" w:w="100"/>
              <w:right w:type="dxa" w:w="120"/>
            </w:tcMar>
            <w:vAlign w:val="center"/>
          </w:tcPr>
          <w:p>
            <w:pPr>
              <w:spacing w:after="40"/>
            </w:pPr>
            <w:r>
              <w:rPr>
                <w:b w:val="false"/>
                <w:bCs w:val="false"/>
                <w:color w:val="222222"/>
                <w:sz w:val="19"/>
                <w:szCs w:val="19"/>
              </w:rPr>
              <w:t xml:space="preserve">12.4 Boucle de correction humaine erronée absorbée</w:t>
            </w:r>
          </w:p>
        </w:tc>
        <w:tc>
          <w:tcPr>
            <w:tcW w:type="dxa" w:w="1400"/>
            <w:tcMar>
              <w:top w:type="dxa" w:w="100"/>
              <w:left w:type="dxa" w:w="120"/>
              <w:bottom w:type="dxa" w:w="100"/>
              <w:right w:type="dxa" w:w="120"/>
            </w:tcMar>
            <w:vAlign w:val="center"/>
          </w:tcPr>
          <w:p>
            <w:pPr>
              <w:spacing w:after="40"/>
            </w:pPr>
            <w:r>
              <w:rPr>
                <w:b w:val="false"/>
                <w:bCs w:val="false"/>
                <w:color w:val="222222"/>
                <w:sz w:val="19"/>
                <w:szCs w:val="19"/>
              </w:rPr>
              <w:t xml:space="preserve">Moyen</w:t>
            </w:r>
          </w:p>
        </w:tc>
        <w:tc>
          <w:tcPr>
            <w:tcW w:type="dxa" w:w="4400"/>
            <w:tcMar>
              <w:top w:type="dxa" w:w="100"/>
              <w:left w:type="dxa" w:w="120"/>
              <w:bottom w:type="dxa" w:w="100"/>
              <w:right w:type="dxa" w:w="120"/>
            </w:tcMar>
            <w:vAlign w:val="center"/>
          </w:tcPr>
          <w:p>
            <w:pPr>
              <w:spacing w:after="40"/>
            </w:pPr>
            <w:r>
              <w:rPr>
                <w:b w:val="false"/>
                <w:bCs w:val="false"/>
                <w:color w:val="222222"/>
                <w:sz w:val="19"/>
                <w:szCs w:val="19"/>
              </w:rPr>
              <w:t xml:space="preserve">Journalisation seule au MVP, aucun réentraînement automatique, validation multi-experts avant toute intégration</w:t>
            </w:r>
          </w:p>
        </w:tc>
      </w:tr>
      <w:tr>
        <w:tc>
          <w:tcPr>
            <w:tcW w:type="dxa" w:w="3200"/>
            <w:tcMar>
              <w:top w:type="dxa" w:w="100"/>
              <w:left w:type="dxa" w:w="120"/>
              <w:bottom w:type="dxa" w:w="100"/>
              <w:right w:type="dxa" w:w="120"/>
            </w:tcMar>
            <w:vAlign w:val="center"/>
          </w:tcPr>
          <w:p>
            <w:pPr>
              <w:spacing w:after="40"/>
            </w:pPr>
            <w:r>
              <w:rPr>
                <w:b w:val="false"/>
                <w:bCs w:val="false"/>
                <w:color w:val="222222"/>
                <w:sz w:val="19"/>
                <w:szCs w:val="19"/>
              </w:rPr>
              <w:t xml:space="preserve">12.5 Vol ou perte d'un appareil en mode hors-ligne</w:t>
            </w:r>
          </w:p>
        </w:tc>
        <w:tc>
          <w:tcPr>
            <w:tcW w:type="dxa" w:w="1400"/>
            <w:tcMar>
              <w:top w:type="dxa" w:w="100"/>
              <w:left w:type="dxa" w:w="120"/>
              <w:bottom w:type="dxa" w:w="100"/>
              <w:right w:type="dxa" w:w="120"/>
            </w:tcMar>
            <w:vAlign w:val="center"/>
          </w:tcPr>
          <w:p>
            <w:pPr>
              <w:spacing w:after="40"/>
            </w:pPr>
            <w:r>
              <w:rPr>
                <w:b w:val="false"/>
                <w:bCs w:val="false"/>
                <w:color w:val="222222"/>
                <w:sz w:val="19"/>
                <w:szCs w:val="19"/>
              </w:rPr>
              <w:t xml:space="preserve">Moyen</w:t>
            </w:r>
          </w:p>
        </w:tc>
        <w:tc>
          <w:tcPr>
            <w:tcW w:type="dxa" w:w="4400"/>
            <w:tcMar>
              <w:top w:type="dxa" w:w="100"/>
              <w:left w:type="dxa" w:w="120"/>
              <w:bottom w:type="dxa" w:w="100"/>
              <w:right w:type="dxa" w:w="120"/>
            </w:tcMar>
            <w:vAlign w:val="center"/>
          </w:tcPr>
          <w:p>
            <w:pPr>
              <w:spacing w:after="40"/>
            </w:pPr>
            <w:r>
              <w:rPr>
                <w:b w:val="false"/>
                <w:bCs w:val="false"/>
                <w:color w:val="222222"/>
                <w:sz w:val="19"/>
                <w:szCs w:val="19"/>
              </w:rPr>
              <w:t xml:space="preserve">Chiffrement local systématique, effacement à distance, données purgées après synchronisation</w:t>
            </w:r>
          </w:p>
        </w:tc>
      </w:tr>
      <w:tr>
        <w:tc>
          <w:tcPr>
            <w:tcW w:type="dxa" w:w="3200"/>
            <w:tcMar>
              <w:top w:type="dxa" w:w="100"/>
              <w:left w:type="dxa" w:w="120"/>
              <w:bottom w:type="dxa" w:w="100"/>
              <w:right w:type="dxa" w:w="120"/>
            </w:tcMar>
            <w:vAlign w:val="center"/>
          </w:tcPr>
          <w:p>
            <w:pPr>
              <w:spacing w:after="40"/>
            </w:pPr>
            <w:r>
              <w:rPr>
                <w:b w:val="false"/>
                <w:bCs w:val="false"/>
                <w:color w:val="222222"/>
                <w:sz w:val="19"/>
                <w:szCs w:val="19"/>
              </w:rPr>
              <w:t xml:space="preserve">12.6 Dérive de performance après déploiement</w:t>
            </w:r>
          </w:p>
        </w:tc>
        <w:tc>
          <w:tcPr>
            <w:tcW w:type="dxa" w:w="1400"/>
            <w:tcMar>
              <w:top w:type="dxa" w:w="100"/>
              <w:left w:type="dxa" w:w="120"/>
              <w:bottom w:type="dxa" w:w="100"/>
              <w:right w:type="dxa" w:w="120"/>
            </w:tcMar>
            <w:vAlign w:val="center"/>
          </w:tcPr>
          <w:p>
            <w:pPr>
              <w:spacing w:after="40"/>
            </w:pPr>
            <w:r>
              <w:rPr>
                <w:b w:val="false"/>
                <w:bCs w:val="false"/>
                <w:color w:val="222222"/>
                <w:sz w:val="19"/>
                <w:szCs w:val="19"/>
              </w:rPr>
              <w:t xml:space="preserve">Moyen</w:t>
            </w:r>
          </w:p>
        </w:tc>
        <w:tc>
          <w:tcPr>
            <w:tcW w:type="dxa" w:w="4400"/>
            <w:tcMar>
              <w:top w:type="dxa" w:w="100"/>
              <w:left w:type="dxa" w:w="120"/>
              <w:bottom w:type="dxa" w:w="100"/>
              <w:right w:type="dxa" w:w="120"/>
            </w:tcMar>
            <w:vAlign w:val="center"/>
          </w:tcPr>
          <w:p>
            <w:pPr>
              <w:spacing w:after="40"/>
            </w:pPr>
            <w:r>
              <w:rPr>
                <w:b w:val="false"/>
                <w:bCs w:val="false"/>
                <w:color w:val="222222"/>
                <w:sz w:val="19"/>
                <w:szCs w:val="19"/>
              </w:rPr>
              <w:t xml:space="preserve">Monitoring continu des scores et alertes de dérive statistique (section 15, phase 2)</w:t>
            </w:r>
          </w:p>
        </w:tc>
      </w:tr>
      <w:tr>
        <w:tc>
          <w:tcPr>
            <w:tcW w:type="dxa" w:w="3200"/>
            <w:tcMar>
              <w:top w:type="dxa" w:w="100"/>
              <w:left w:type="dxa" w:w="120"/>
              <w:bottom w:type="dxa" w:w="100"/>
              <w:right w:type="dxa" w:w="120"/>
            </w:tcMar>
            <w:vAlign w:val="center"/>
          </w:tcPr>
          <w:p>
            <w:pPr>
              <w:spacing w:after="40"/>
            </w:pPr>
            <w:r>
              <w:rPr>
                <w:b w:val="false"/>
                <w:bCs w:val="false"/>
                <w:color w:val="222222"/>
                <w:sz w:val="19"/>
                <w:szCs w:val="19"/>
              </w:rPr>
              <w:t xml:space="preserve">12.7 Distribution shift (autre pays, autre appareil)</w:t>
            </w:r>
          </w:p>
        </w:tc>
        <w:tc>
          <w:tcPr>
            <w:tcW w:type="dxa" w:w="1400"/>
            <w:tcMar>
              <w:top w:type="dxa" w:w="100"/>
              <w:left w:type="dxa" w:w="120"/>
              <w:bottom w:type="dxa" w:w="100"/>
              <w:right w:type="dxa" w:w="120"/>
            </w:tcMar>
            <w:vAlign w:val="center"/>
          </w:tcPr>
          <w:p>
            <w:pPr>
              <w:spacing w:after="40"/>
            </w:pPr>
            <w:r>
              <w:rPr>
                <w:b w:val="false"/>
                <w:bCs w:val="false"/>
                <w:color w:val="222222"/>
                <w:sz w:val="19"/>
                <w:szCs w:val="19"/>
              </w:rPr>
              <w:t xml:space="preserve">Élevé</w:t>
            </w:r>
          </w:p>
        </w:tc>
        <w:tc>
          <w:tcPr>
            <w:tcW w:type="dxa" w:w="4400"/>
            <w:tcMar>
              <w:top w:type="dxa" w:w="100"/>
              <w:left w:type="dxa" w:w="120"/>
              <w:bottom w:type="dxa" w:w="100"/>
              <w:right w:type="dxa" w:w="120"/>
            </w:tcMar>
            <w:vAlign w:val="center"/>
          </w:tcPr>
          <w:p>
            <w:pPr>
              <w:spacing w:after="40"/>
            </w:pPr>
            <w:r>
              <w:rPr>
                <w:b w:val="false"/>
                <w:bCs w:val="false"/>
                <w:color w:val="222222"/>
                <w:sz w:val="19"/>
                <w:szCs w:val="19"/>
              </w:rPr>
              <w:t xml:space="preserve">Tests de robustesse, avertissement explicite hors distribution d'entraînement</w:t>
            </w:r>
          </w:p>
        </w:tc>
      </w:tr>
      <w:tr>
        <w:tc>
          <w:tcPr>
            <w:tcW w:type="dxa" w:w="3200"/>
            <w:tcMar>
              <w:top w:type="dxa" w:w="100"/>
              <w:left w:type="dxa" w:w="120"/>
              <w:bottom w:type="dxa" w:w="100"/>
              <w:right w:type="dxa" w:w="120"/>
            </w:tcMar>
            <w:vAlign w:val="center"/>
          </w:tcPr>
          <w:p>
            <w:pPr>
              <w:spacing w:after="40"/>
            </w:pPr>
            <w:r>
              <w:rPr>
                <w:b w:val="false"/>
                <w:bCs w:val="false"/>
                <w:color w:val="222222"/>
                <w:sz w:val="19"/>
                <w:szCs w:val="19"/>
              </w:rPr>
              <w:t xml:space="preserve">12.8 Absence de consentement patient</w:t>
            </w:r>
          </w:p>
        </w:tc>
        <w:tc>
          <w:tcPr>
            <w:tcW w:type="dxa" w:w="1400"/>
            <w:tcMar>
              <w:top w:type="dxa" w:w="100"/>
              <w:left w:type="dxa" w:w="120"/>
              <w:bottom w:type="dxa" w:w="100"/>
              <w:right w:type="dxa" w:w="120"/>
            </w:tcMar>
            <w:vAlign w:val="center"/>
          </w:tcPr>
          <w:p>
            <w:pPr>
              <w:spacing w:after="40"/>
            </w:pPr>
            <w:r>
              <w:rPr>
                <w:b w:val="false"/>
                <w:bCs w:val="false"/>
                <w:color w:val="222222"/>
                <w:sz w:val="19"/>
                <w:szCs w:val="19"/>
              </w:rPr>
              <w:t xml:space="preserve">Élevé</w:t>
            </w:r>
          </w:p>
        </w:tc>
        <w:tc>
          <w:tcPr>
            <w:tcW w:type="dxa" w:w="4400"/>
            <w:tcMar>
              <w:top w:type="dxa" w:w="100"/>
              <w:left w:type="dxa" w:w="120"/>
              <w:bottom w:type="dxa" w:w="100"/>
              <w:right w:type="dxa" w:w="120"/>
            </w:tcMar>
            <w:vAlign w:val="center"/>
          </w:tcPr>
          <w:p>
            <w:pPr>
              <w:spacing w:after="40"/>
            </w:pPr>
            <w:r>
              <w:rPr>
                <w:b w:val="false"/>
                <w:bCs w:val="false"/>
                <w:color w:val="222222"/>
                <w:sz w:val="19"/>
                <w:szCs w:val="19"/>
              </w:rPr>
              <w:t xml:space="preserve">Consentement formalisé comme prérequis contractuel de tout déploiement pilote</w:t>
            </w:r>
          </w:p>
        </w:tc>
      </w:tr>
      <w:tr>
        <w:tc>
          <w:tcPr>
            <w:tcW w:type="dxa" w:w="3200"/>
            <w:tcMar>
              <w:top w:type="dxa" w:w="100"/>
              <w:left w:type="dxa" w:w="120"/>
              <w:bottom w:type="dxa" w:w="100"/>
              <w:right w:type="dxa" w:w="120"/>
            </w:tcMar>
            <w:vAlign w:val="center"/>
          </w:tcPr>
          <w:p>
            <w:pPr>
              <w:spacing w:after="40"/>
            </w:pPr>
            <w:r>
              <w:rPr>
                <w:b w:val="false"/>
                <w:bCs w:val="false"/>
                <w:color w:val="222222"/>
                <w:sz w:val="19"/>
                <w:szCs w:val="19"/>
              </w:rPr>
              <w:t xml:space="preserve">12.9 Ambiguïté sur la responsabilité en cas d'erreur</w:t>
            </w:r>
          </w:p>
        </w:tc>
        <w:tc>
          <w:tcPr>
            <w:tcW w:type="dxa" w:w="1400"/>
            <w:tcMar>
              <w:top w:type="dxa" w:w="100"/>
              <w:left w:type="dxa" w:w="120"/>
              <w:bottom w:type="dxa" w:w="100"/>
              <w:right w:type="dxa" w:w="120"/>
            </w:tcMar>
            <w:vAlign w:val="center"/>
          </w:tcPr>
          <w:p>
            <w:pPr>
              <w:spacing w:after="40"/>
            </w:pPr>
            <w:r>
              <w:rPr>
                <w:b w:val="false"/>
                <w:bCs w:val="false"/>
                <w:color w:val="222222"/>
                <w:sz w:val="19"/>
                <w:szCs w:val="19"/>
              </w:rPr>
              <w:t xml:space="preserve">Élevé</w:t>
            </w:r>
          </w:p>
        </w:tc>
        <w:tc>
          <w:tcPr>
            <w:tcW w:type="dxa" w:w="4400"/>
            <w:tcMar>
              <w:top w:type="dxa" w:w="100"/>
              <w:left w:type="dxa" w:w="120"/>
              <w:bottom w:type="dxa" w:w="100"/>
              <w:right w:type="dxa" w:w="120"/>
            </w:tcMar>
            <w:vAlign w:val="center"/>
          </w:tcPr>
          <w:p>
            <w:pPr>
              <w:spacing w:after="40"/>
            </w:pPr>
            <w:r>
              <w:rPr>
                <w:b w:val="false"/>
                <w:bCs w:val="false"/>
                <w:color w:val="222222"/>
                <w:sz w:val="19"/>
                <w:szCs w:val="19"/>
              </w:rPr>
              <w:t xml:space="preserve">Statut "aide non diagnostique" assumé, cadre contractuel avec la structure utilisatrice</w:t>
            </w:r>
          </w:p>
        </w:tc>
      </w:tr>
    </w:tbl>
    <w:p>
      <w:r>
        <w:br w:type="page"/>
      </w:r>
    </w:p>
    <w:p>
      <w:pPr>
        <w:pStyle w:val="Heading1"/>
        <w:pBdr>
          <w:bottom w:val="single" w:color="0E7C7B" w:sz="8" w:space="4"/>
        </w:pBdr>
        <w:spacing w:after="200" w:before="480"/>
      </w:pPr>
      <w:r>
        <w:rPr>
          <w:b/>
          <w:bCs/>
          <w:color w:val="1B2A4A"/>
          <w:sz w:val="30"/>
          <w:szCs w:val="30"/>
        </w:rPr>
        <w:t xml:space="preserve">13. MVP DU HACKATHON</w:t>
      </w:r>
    </w:p>
    <w:p>
      <w:pPr>
        <w:pStyle w:val="Heading2"/>
        <w:spacing w:after="140" w:before="320"/>
      </w:pPr>
      <w:r>
        <w:rPr>
          <w:b/>
          <w:bCs/>
          <w:color w:val="0E7C7B"/>
          <w:sz w:val="24"/>
          <w:szCs w:val="24"/>
        </w:rPr>
        <w:t xml:space="preserve">13.1 Périmètre fermé et assumé</w:t>
      </w:r>
    </w:p>
    <w:p>
      <w:pPr>
        <w:spacing w:after="140" w:line="300"/>
      </w:pPr>
      <w:r>
        <w:rPr>
          <w:color w:val="222222"/>
          <w:sz w:val="21"/>
          <w:szCs w:val="21"/>
        </w:rPr>
        <w:t xml:space="preserve">Pour éviter la réponse ouverte qui affaiblissait la première version ("le nombre dépendra du dataset"), le MVP est cadré ainsi :</w:t>
      </w:r>
    </w:p>
    <w:p>
      <w:pPr>
        <w:pStyle w:val="ListParagraph"/>
        <w:numPr>
          <w:ilvl w:val="0"/>
          <w:numId w:val="1"/>
        </w:numPr>
        <w:spacing w:after="80" w:line="280"/>
      </w:pPr>
      <w:r>
        <w:rPr>
          <w:b/>
          <w:bCs/>
          <w:sz w:val="21"/>
          <w:szCs w:val="21"/>
        </w:rPr>
        <w:t xml:space="preserve">Modalité unique : </w:t>
      </w:r>
      <w:r>
        <w:rPr>
          <w:sz w:val="21"/>
          <w:szCs w:val="21"/>
        </w:rPr>
        <w:t xml:space="preserve">radiographie thoracique.</w:t>
      </w:r>
    </w:p>
    <w:p>
      <w:pPr>
        <w:pStyle w:val="ListParagraph"/>
        <w:numPr>
          <w:ilvl w:val="0"/>
          <w:numId w:val="1"/>
        </w:numPr>
        <w:spacing w:after="80" w:line="280"/>
      </w:pPr>
      <w:r>
        <w:rPr>
          <w:b/>
          <w:bCs/>
          <w:sz w:val="21"/>
          <w:szCs w:val="21"/>
        </w:rPr>
        <w:t xml:space="preserve">Trois pathologies ciblées : </w:t>
      </w:r>
      <w:r>
        <w:rPr>
          <w:sz w:val="21"/>
          <w:szCs w:val="21"/>
        </w:rPr>
        <w:t xml:space="preserve">épanchement pleural, cardiomégalie, opacité pulmonaire — sélectionnées pour leur bonne représentation dans NIH ChestX-ray14 / CheXpert.</w:t>
      </w:r>
    </w:p>
    <w:p>
      <w:pPr>
        <w:pStyle w:val="Heading2"/>
        <w:spacing w:after="140" w:before="320"/>
      </w:pPr>
      <w:r>
        <w:rPr>
          <w:b/>
          <w:bCs/>
          <w:color w:val="0E7C7B"/>
          <w:sz w:val="24"/>
          <w:szCs w:val="24"/>
        </w:rPr>
        <w:t xml:space="preserve">13.2 Fonctionnalités du prototype</w:t>
      </w:r>
    </w:p>
    <w:p>
      <w:pPr>
        <w:pStyle w:val="ListParagraph"/>
        <w:numPr>
          <w:ilvl w:val="0"/>
          <w:numId w:val="1"/>
        </w:numPr>
        <w:spacing w:after="80" w:line="280"/>
      </w:pPr>
      <w:r>
        <w:rPr>
          <w:color w:val="222222"/>
          <w:sz w:val="21"/>
          <w:szCs w:val="21"/>
        </w:rPr>
        <w:t xml:space="preserve">Importation d'une radiographie</w:t>
      </w:r>
    </w:p>
    <w:p>
      <w:pPr>
        <w:pStyle w:val="ListParagraph"/>
        <w:numPr>
          <w:ilvl w:val="0"/>
          <w:numId w:val="1"/>
        </w:numPr>
        <w:spacing w:after="80" w:line="280"/>
      </w:pPr>
      <w:r>
        <w:rPr>
          <w:color w:val="222222"/>
          <w:sz w:val="21"/>
          <w:szCs w:val="21"/>
        </w:rPr>
        <w:t xml:space="preserve">Contrôle automatique de qualité</w:t>
      </w:r>
    </w:p>
    <w:p>
      <w:pPr>
        <w:pStyle w:val="ListParagraph"/>
        <w:numPr>
          <w:ilvl w:val="0"/>
          <w:numId w:val="1"/>
        </w:numPr>
        <w:spacing w:after="80" w:line="280"/>
      </w:pPr>
      <w:r>
        <w:rPr>
          <w:color w:val="222222"/>
          <w:sz w:val="21"/>
          <w:szCs w:val="21"/>
        </w:rPr>
        <w:t xml:space="preserve">Détection du type d'examen</w:t>
      </w:r>
    </w:p>
    <w:p>
      <w:pPr>
        <w:pStyle w:val="ListParagraph"/>
        <w:numPr>
          <w:ilvl w:val="0"/>
          <w:numId w:val="1"/>
        </w:numPr>
        <w:spacing w:after="80" w:line="280"/>
      </w:pPr>
      <w:r>
        <w:rPr>
          <w:color w:val="222222"/>
          <w:sz w:val="21"/>
          <w:szCs w:val="21"/>
        </w:rPr>
        <w:t xml:space="preserve">Analyse IA sur les trois pathologies ciblées</w:t>
      </w:r>
    </w:p>
    <w:p>
      <w:pPr>
        <w:pStyle w:val="ListParagraph"/>
        <w:numPr>
          <w:ilvl w:val="0"/>
          <w:numId w:val="1"/>
        </w:numPr>
        <w:spacing w:after="80" w:line="280"/>
      </w:pPr>
      <w:r>
        <w:rPr>
          <w:color w:val="222222"/>
          <w:sz w:val="21"/>
          <w:szCs w:val="21"/>
        </w:rPr>
        <w:t xml:space="preserve">Localisation des zones suspectes (Grad-CAM) et explication en langage humain</w:t>
      </w:r>
    </w:p>
    <w:p>
      <w:pPr>
        <w:pStyle w:val="ListParagraph"/>
        <w:numPr>
          <w:ilvl w:val="0"/>
          <w:numId w:val="1"/>
        </w:numPr>
        <w:spacing w:after="80" w:line="280"/>
      </w:pPr>
      <w:r>
        <w:rPr>
          <w:color w:val="222222"/>
          <w:sz w:val="21"/>
          <w:szCs w:val="21"/>
        </w:rPr>
        <w:t xml:space="preserve">Score calibré + indice de fiabilité global</w:t>
      </w:r>
    </w:p>
    <w:p>
      <w:pPr>
        <w:pStyle w:val="ListParagraph"/>
        <w:numPr>
          <w:ilvl w:val="0"/>
          <w:numId w:val="1"/>
        </w:numPr>
        <w:spacing w:after="80" w:line="280"/>
      </w:pPr>
      <w:r>
        <w:rPr>
          <w:color w:val="222222"/>
          <w:sz w:val="21"/>
          <w:szCs w:val="21"/>
        </w:rPr>
        <w:t xml:space="preserve">Refus de conclure sous le seuil défini (section 5.4)</w:t>
      </w:r>
    </w:p>
    <w:p>
      <w:pPr>
        <w:pStyle w:val="ListParagraph"/>
        <w:numPr>
          <w:ilvl w:val="0"/>
          <w:numId w:val="1"/>
        </w:numPr>
        <w:spacing w:after="80" w:line="280"/>
      </w:pPr>
      <w:r>
        <w:rPr>
          <w:color w:val="222222"/>
          <w:sz w:val="21"/>
          <w:szCs w:val="21"/>
        </w:rPr>
        <w:t xml:space="preserve">Génération d'un rapport</w:t>
      </w:r>
    </w:p>
    <w:p>
      <w:pPr>
        <w:pStyle w:val="ListParagraph"/>
        <w:numPr>
          <w:ilvl w:val="0"/>
          <w:numId w:val="1"/>
        </w:numPr>
        <w:spacing w:after="80" w:line="280"/>
      </w:pPr>
      <w:r>
        <w:rPr>
          <w:color w:val="222222"/>
          <w:sz w:val="21"/>
          <w:szCs w:val="21"/>
        </w:rPr>
        <w:t xml:space="preserve">Démonstration du registre des risques et de la position réglementaire à l'oral, même sans implémentation complète</w:t>
      </w:r>
    </w:p>
    <w:p>
      <w:pPr>
        <w:pStyle w:val="Heading2"/>
        <w:spacing w:after="140" w:before="320"/>
      </w:pPr>
      <w:r>
        <w:rPr>
          <w:b/>
          <w:bCs/>
          <w:color w:val="0E7C7B"/>
          <w:sz w:val="24"/>
          <w:szCs w:val="24"/>
        </w:rPr>
        <w:t xml:space="preserve">13.3 Objectif chiffré du prototype</w:t>
      </w:r>
    </w:p>
    <w:p>
      <w:pPr>
        <w:pBdr>
          <w:left w:val="single" w:color="0E7C7B" w:sz="24" w:space="8"/>
        </w:pBdr>
        <w:shd w:fill="F2F4F6" w:val="clear"/>
        <w:spacing w:after="200" w:before="120"/>
        <w:ind w:left="360" w:right="360"/>
      </w:pPr>
      <w:r>
        <w:rPr>
          <w:i/>
          <w:iCs/>
          <w:color w:val="1A1A1A"/>
          <w:sz w:val="21"/>
          <w:szCs w:val="21"/>
        </w:rPr>
        <w:t xml:space="preserve">Identifier en moins de 30 secondes 100 % des cas de test devant être classés en priorité haute, et déclencher un refus de conclusion plutôt qu'une prédiction non fiable sur toute image jugée insuffisante par le contrôle qualité.</w:t>
      </w:r>
    </w:p>
    <w:p>
      <w:r>
        <w:br w:type="page"/>
      </w:r>
    </w:p>
    <w:p>
      <w:pPr>
        <w:pStyle w:val="Heading1"/>
        <w:pBdr>
          <w:bottom w:val="single" w:color="0E7C7B" w:sz="8" w:space="4"/>
        </w:pBdr>
        <w:spacing w:after="200" w:before="480"/>
      </w:pPr>
      <w:r>
        <w:rPr>
          <w:b/>
          <w:bCs/>
          <w:color w:val="1B2A4A"/>
          <w:sz w:val="30"/>
          <w:szCs w:val="30"/>
        </w:rPr>
        <w:t xml:space="preserve">14. SCÉNARIO DE DÉMONSTRATION</w:t>
      </w:r>
    </w:p>
    <w:p>
      <w:pPr>
        <w:spacing w:after="140" w:line="300"/>
      </w:pPr>
      <w:r>
        <w:rPr>
          <w:color w:val="222222"/>
          <w:sz w:val="21"/>
          <w:szCs w:val="21"/>
        </w:rPr>
        <w:t xml:space="preserve">La présentation s'ouvre sur une situation réelle : un centre de santé reçoit plusieurs radiographies, le spécialiste n'est pas immédiatement disponible pour toutes les interpréter. Le professionnel utilise Médicure.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B2A4A" w:val="clear"/>
            <w:tcMar>
              <w:top w:type="dxa" w:w="100"/>
              <w:left w:type="dxa" w:w="120"/>
              <w:bottom w:type="dxa" w:w="100"/>
              <w:right w:type="dxa" w:w="120"/>
            </w:tcMar>
            <w:vAlign w:val="center"/>
          </w:tcPr>
          <w:p>
            <w:pPr>
              <w:spacing w:after="40"/>
            </w:pPr>
            <w:r>
              <w:rPr>
                <w:b/>
                <w:bCs/>
                <w:color w:val="FFFFFF"/>
                <w:sz w:val="19"/>
                <w:szCs w:val="19"/>
              </w:rPr>
              <w:t xml:space="preserve">Étape</w:t>
            </w:r>
          </w:p>
        </w:tc>
        <w:tc>
          <w:tcPr>
            <w:tcW w:type="dxa" w:w="7800"/>
            <w:shd w:fill="1B2A4A" w:val="clear"/>
            <w:tcMar>
              <w:top w:type="dxa" w:w="100"/>
              <w:left w:type="dxa" w:w="120"/>
              <w:bottom w:type="dxa" w:w="100"/>
              <w:right w:type="dxa" w:w="120"/>
            </w:tcMar>
            <w:vAlign w:val="center"/>
          </w:tcPr>
          <w:p>
            <w:pPr>
              <w:spacing w:after="40"/>
            </w:pPr>
            <w:r>
              <w:rPr>
                <w:b/>
                <w:bCs/>
                <w:color w:val="FFFFFF"/>
                <w:sz w:val="19"/>
                <w:szCs w:val="19"/>
              </w:rPr>
              <w:t xml:space="preserve">Action</w:t>
            </w:r>
          </w:p>
        </w:tc>
      </w:tr>
      <w:tr>
        <w:tc>
          <w:tcPr>
            <w:tcW w:type="dxa" w:w="1200"/>
            <w:tcMar>
              <w:top w:type="dxa" w:w="100"/>
              <w:left w:type="dxa" w:w="120"/>
              <w:bottom w:type="dxa" w:w="100"/>
              <w:right w:type="dxa" w:w="120"/>
            </w:tcMar>
            <w:vAlign w:val="center"/>
          </w:tcPr>
          <w:p>
            <w:pPr>
              <w:spacing w:after="40"/>
            </w:pPr>
            <w:r>
              <w:rPr>
                <w:b w:val="false"/>
                <w:bCs w:val="false"/>
                <w:color w:val="222222"/>
                <w:sz w:val="19"/>
                <w:szCs w:val="19"/>
              </w:rPr>
              <w:t xml:space="preserve">1</w:t>
            </w:r>
          </w:p>
        </w:tc>
        <w:tc>
          <w:tcPr>
            <w:tcW w:type="dxa" w:w="7800"/>
            <w:tcMar>
              <w:top w:type="dxa" w:w="100"/>
              <w:left w:type="dxa" w:w="120"/>
              <w:bottom w:type="dxa" w:w="100"/>
              <w:right w:type="dxa" w:w="120"/>
            </w:tcMar>
            <w:vAlign w:val="center"/>
          </w:tcPr>
          <w:p>
            <w:pPr>
              <w:spacing w:after="40"/>
            </w:pPr>
            <w:r>
              <w:rPr>
                <w:b w:val="false"/>
                <w:bCs w:val="false"/>
                <w:color w:val="222222"/>
                <w:sz w:val="19"/>
                <w:szCs w:val="19"/>
              </w:rPr>
              <w:t xml:space="preserve">Import d'une radiographie de qualité insuffisante → « ⚠️ Image de qualité insuffisante », avec explication du problème</w:t>
            </w:r>
          </w:p>
        </w:tc>
      </w:tr>
      <w:tr>
        <w:tc>
          <w:tcPr>
            <w:tcW w:type="dxa" w:w="1200"/>
            <w:tcMar>
              <w:top w:type="dxa" w:w="100"/>
              <w:left w:type="dxa" w:w="120"/>
              <w:bottom w:type="dxa" w:w="100"/>
              <w:right w:type="dxa" w:w="120"/>
            </w:tcMar>
            <w:vAlign w:val="center"/>
          </w:tcPr>
          <w:p>
            <w:pPr>
              <w:spacing w:after="40"/>
            </w:pPr>
            <w:r>
              <w:rPr>
                <w:b w:val="false"/>
                <w:bCs w:val="false"/>
                <w:color w:val="222222"/>
                <w:sz w:val="19"/>
                <w:szCs w:val="19"/>
              </w:rPr>
              <w:t xml:space="preserve">2</w:t>
            </w:r>
          </w:p>
        </w:tc>
        <w:tc>
          <w:tcPr>
            <w:tcW w:type="dxa" w:w="7800"/>
            <w:tcMar>
              <w:top w:type="dxa" w:w="100"/>
              <w:left w:type="dxa" w:w="120"/>
              <w:bottom w:type="dxa" w:w="100"/>
              <w:right w:type="dxa" w:w="120"/>
            </w:tcMar>
            <w:vAlign w:val="center"/>
          </w:tcPr>
          <w:p>
            <w:pPr>
              <w:spacing w:after="40"/>
            </w:pPr>
            <w:r>
              <w:rPr>
                <w:b w:val="false"/>
                <w:bCs w:val="false"/>
                <w:color w:val="222222"/>
                <w:sz w:val="19"/>
                <w:szCs w:val="19"/>
              </w:rPr>
              <w:t xml:space="preserve">Import d'une image correcte → « ✅ Image exploitable »</w:t>
            </w:r>
          </w:p>
        </w:tc>
      </w:tr>
      <w:tr>
        <w:tc>
          <w:tcPr>
            <w:tcW w:type="dxa" w:w="1200"/>
            <w:tcMar>
              <w:top w:type="dxa" w:w="100"/>
              <w:left w:type="dxa" w:w="120"/>
              <w:bottom w:type="dxa" w:w="100"/>
              <w:right w:type="dxa" w:w="120"/>
            </w:tcMar>
            <w:vAlign w:val="center"/>
          </w:tcPr>
          <w:p>
            <w:pPr>
              <w:spacing w:after="40"/>
            </w:pPr>
            <w:r>
              <w:rPr>
                <w:b w:val="false"/>
                <w:bCs w:val="false"/>
                <w:color w:val="222222"/>
                <w:sz w:val="19"/>
                <w:szCs w:val="19"/>
              </w:rPr>
              <w:t xml:space="preserve">3</w:t>
            </w:r>
          </w:p>
        </w:tc>
        <w:tc>
          <w:tcPr>
            <w:tcW w:type="dxa" w:w="7800"/>
            <w:tcMar>
              <w:top w:type="dxa" w:w="100"/>
              <w:left w:type="dxa" w:w="120"/>
              <w:bottom w:type="dxa" w:w="100"/>
              <w:right w:type="dxa" w:w="120"/>
            </w:tcMar>
            <w:vAlign w:val="center"/>
          </w:tcPr>
          <w:p>
            <w:pPr>
              <w:spacing w:after="40"/>
            </w:pPr>
            <w:r>
              <w:rPr>
                <w:b w:val="false"/>
                <w:bCs w:val="false"/>
                <w:color w:val="222222"/>
                <w:sz w:val="19"/>
                <w:szCs w:val="19"/>
              </w:rPr>
              <w:t xml:space="preserve">Identification automatique → « 🫁 Radiographie thoracique »</w:t>
            </w:r>
          </w:p>
        </w:tc>
      </w:tr>
      <w:tr>
        <w:tc>
          <w:tcPr>
            <w:tcW w:type="dxa" w:w="1200"/>
            <w:tcMar>
              <w:top w:type="dxa" w:w="100"/>
              <w:left w:type="dxa" w:w="120"/>
              <w:bottom w:type="dxa" w:w="100"/>
              <w:right w:type="dxa" w:w="120"/>
            </w:tcMar>
            <w:vAlign w:val="center"/>
          </w:tcPr>
          <w:p>
            <w:pPr>
              <w:spacing w:after="40"/>
            </w:pPr>
            <w:r>
              <w:rPr>
                <w:b w:val="false"/>
                <w:bCs w:val="false"/>
                <w:color w:val="222222"/>
                <w:sz w:val="19"/>
                <w:szCs w:val="19"/>
              </w:rPr>
              <w:t xml:space="preserve">4</w:t>
            </w:r>
          </w:p>
        </w:tc>
        <w:tc>
          <w:tcPr>
            <w:tcW w:type="dxa" w:w="7800"/>
            <w:tcMar>
              <w:top w:type="dxa" w:w="100"/>
              <w:left w:type="dxa" w:w="120"/>
              <w:bottom w:type="dxa" w:w="100"/>
              <w:right w:type="dxa" w:w="120"/>
            </w:tcMar>
            <w:vAlign w:val="center"/>
          </w:tcPr>
          <w:p>
            <w:pPr>
              <w:spacing w:after="40"/>
            </w:pPr>
            <w:r>
              <w:rPr>
                <w:b w:val="false"/>
                <w:bCs w:val="false"/>
                <w:color w:val="222222"/>
                <w:sz w:val="19"/>
                <w:szCs w:val="19"/>
              </w:rPr>
              <w:t xml:space="preserve">Analyse IA sur les zones pertinentes</w:t>
            </w:r>
          </w:p>
        </w:tc>
      </w:tr>
      <w:tr>
        <w:tc>
          <w:tcPr>
            <w:tcW w:type="dxa" w:w="1200"/>
            <w:tcMar>
              <w:top w:type="dxa" w:w="100"/>
              <w:left w:type="dxa" w:w="120"/>
              <w:bottom w:type="dxa" w:w="100"/>
              <w:right w:type="dxa" w:w="120"/>
            </w:tcMar>
            <w:vAlign w:val="center"/>
          </w:tcPr>
          <w:p>
            <w:pPr>
              <w:spacing w:after="40"/>
            </w:pPr>
            <w:r>
              <w:rPr>
                <w:b w:val="false"/>
                <w:bCs w:val="false"/>
                <w:color w:val="222222"/>
                <w:sz w:val="19"/>
                <w:szCs w:val="19"/>
              </w:rPr>
              <w:t xml:space="preserve">5</w:t>
            </w:r>
          </w:p>
        </w:tc>
        <w:tc>
          <w:tcPr>
            <w:tcW w:type="dxa" w:w="7800"/>
            <w:tcMar>
              <w:top w:type="dxa" w:w="100"/>
              <w:left w:type="dxa" w:w="120"/>
              <w:bottom w:type="dxa" w:w="100"/>
              <w:right w:type="dxa" w:w="120"/>
            </w:tcMar>
            <w:vAlign w:val="center"/>
          </w:tcPr>
          <w:p>
            <w:pPr>
              <w:spacing w:after="40"/>
            </w:pPr>
            <w:r>
              <w:rPr>
                <w:b w:val="false"/>
                <w:bCs w:val="false"/>
                <w:color w:val="222222"/>
                <w:sz w:val="19"/>
                <w:szCs w:val="19"/>
              </w:rPr>
              <w:t xml:space="preserve">Mise en évidence visuelle de la zone d'intérêt + phrase explicative</w:t>
            </w:r>
          </w:p>
        </w:tc>
      </w:tr>
      <w:tr>
        <w:tc>
          <w:tcPr>
            <w:tcW w:type="dxa" w:w="1200"/>
            <w:tcMar>
              <w:top w:type="dxa" w:w="100"/>
              <w:left w:type="dxa" w:w="120"/>
              <w:bottom w:type="dxa" w:w="100"/>
              <w:right w:type="dxa" w:w="120"/>
            </w:tcMar>
            <w:vAlign w:val="center"/>
          </w:tcPr>
          <w:p>
            <w:pPr>
              <w:spacing w:after="40"/>
            </w:pPr>
            <w:r>
              <w:rPr>
                <w:b w:val="false"/>
                <w:bCs w:val="false"/>
                <w:color w:val="222222"/>
                <w:sz w:val="19"/>
                <w:szCs w:val="19"/>
              </w:rPr>
              <w:t xml:space="preserve">6</w:t>
            </w:r>
          </w:p>
        </w:tc>
        <w:tc>
          <w:tcPr>
            <w:tcW w:type="dxa" w:w="7800"/>
            <w:tcMar>
              <w:top w:type="dxa" w:w="100"/>
              <w:left w:type="dxa" w:w="120"/>
              <w:bottom w:type="dxa" w:w="100"/>
              <w:right w:type="dxa" w:w="120"/>
            </w:tcMar>
            <w:vAlign w:val="center"/>
          </w:tcPr>
          <w:p>
            <w:pPr>
              <w:spacing w:after="40"/>
            </w:pPr>
            <w:r>
              <w:rPr>
                <w:b w:val="false"/>
                <w:bCs w:val="false"/>
                <w:color w:val="222222"/>
                <w:sz w:val="19"/>
                <w:szCs w:val="19"/>
              </w:rPr>
              <w:t xml:space="preserve">Scores calibrés affichés + indice de fiabilité global</w:t>
            </w:r>
          </w:p>
        </w:tc>
      </w:tr>
      <w:tr>
        <w:tc>
          <w:tcPr>
            <w:tcW w:type="dxa" w:w="1200"/>
            <w:tcMar>
              <w:top w:type="dxa" w:w="100"/>
              <w:left w:type="dxa" w:w="120"/>
              <w:bottom w:type="dxa" w:w="100"/>
              <w:right w:type="dxa" w:w="120"/>
            </w:tcMar>
            <w:vAlign w:val="center"/>
          </w:tcPr>
          <w:p>
            <w:pPr>
              <w:spacing w:after="40"/>
            </w:pPr>
            <w:r>
              <w:rPr>
                <w:b w:val="false"/>
                <w:bCs w:val="false"/>
                <w:color w:val="222222"/>
                <w:sz w:val="19"/>
                <w:szCs w:val="19"/>
              </w:rPr>
              <w:t xml:space="preserve">7</w:t>
            </w:r>
          </w:p>
        </w:tc>
        <w:tc>
          <w:tcPr>
            <w:tcW w:type="dxa" w:w="7800"/>
            <w:tcMar>
              <w:top w:type="dxa" w:w="100"/>
              <w:left w:type="dxa" w:w="120"/>
              <w:bottom w:type="dxa" w:w="100"/>
              <w:right w:type="dxa" w:w="120"/>
            </w:tcMar>
            <w:vAlign w:val="center"/>
          </w:tcPr>
          <w:p>
            <w:pPr>
              <w:spacing w:after="40"/>
            </w:pPr>
            <w:r>
              <w:rPr>
                <w:b w:val="false"/>
                <w:bCs w:val="false"/>
                <w:color w:val="222222"/>
                <w:sz w:val="19"/>
                <w:szCs w:val="19"/>
              </w:rPr>
              <w:t xml:space="preserve">Cas volontairement ambigu → refus de conclure, priorité automatique élevée</w:t>
            </w:r>
          </w:p>
        </w:tc>
      </w:tr>
      <w:tr>
        <w:tc>
          <w:tcPr>
            <w:tcW w:type="dxa" w:w="1200"/>
            <w:tcMar>
              <w:top w:type="dxa" w:w="100"/>
              <w:left w:type="dxa" w:w="120"/>
              <w:bottom w:type="dxa" w:w="100"/>
              <w:right w:type="dxa" w:w="120"/>
            </w:tcMar>
            <w:vAlign w:val="center"/>
          </w:tcPr>
          <w:p>
            <w:pPr>
              <w:spacing w:after="40"/>
            </w:pPr>
            <w:r>
              <w:rPr>
                <w:b w:val="false"/>
                <w:bCs w:val="false"/>
                <w:color w:val="222222"/>
                <w:sz w:val="19"/>
                <w:szCs w:val="19"/>
              </w:rPr>
              <w:t xml:space="preserve">8</w:t>
            </w:r>
          </w:p>
        </w:tc>
        <w:tc>
          <w:tcPr>
            <w:tcW w:type="dxa" w:w="7800"/>
            <w:tcMar>
              <w:top w:type="dxa" w:w="100"/>
              <w:left w:type="dxa" w:w="120"/>
              <w:bottom w:type="dxa" w:w="100"/>
              <w:right w:type="dxa" w:w="120"/>
            </w:tcMar>
            <w:vAlign w:val="center"/>
          </w:tcPr>
          <w:p>
            <w:pPr>
              <w:spacing w:after="40"/>
            </w:pPr>
            <w:r>
              <w:rPr>
                <w:b w:val="false"/>
                <w:bCs w:val="false"/>
                <w:color w:val="222222"/>
                <w:sz w:val="19"/>
                <w:szCs w:val="19"/>
              </w:rPr>
              <w:t xml:space="preserve">Génération automatique du rapport</w:t>
            </w:r>
          </w:p>
        </w:tc>
      </w:tr>
      <w:tr>
        <w:tc>
          <w:tcPr>
            <w:tcW w:type="dxa" w:w="1200"/>
            <w:tcMar>
              <w:top w:type="dxa" w:w="100"/>
              <w:left w:type="dxa" w:w="120"/>
              <w:bottom w:type="dxa" w:w="100"/>
              <w:right w:type="dxa" w:w="120"/>
            </w:tcMar>
            <w:vAlign w:val="center"/>
          </w:tcPr>
          <w:p>
            <w:pPr>
              <w:spacing w:after="40"/>
            </w:pPr>
            <w:r>
              <w:rPr>
                <w:b w:val="false"/>
                <w:bCs w:val="false"/>
                <w:color w:val="222222"/>
                <w:sz w:val="19"/>
                <w:szCs w:val="19"/>
              </w:rPr>
              <w:t xml:space="preserve">9</w:t>
            </w:r>
          </w:p>
        </w:tc>
        <w:tc>
          <w:tcPr>
            <w:tcW w:type="dxa" w:w="7800"/>
            <w:tcMar>
              <w:top w:type="dxa" w:w="100"/>
              <w:left w:type="dxa" w:w="120"/>
              <w:bottom w:type="dxa" w:w="100"/>
              <w:right w:type="dxa" w:w="120"/>
            </w:tcMar>
            <w:vAlign w:val="center"/>
          </w:tcPr>
          <w:p>
            <w:pPr>
              <w:spacing w:after="40"/>
            </w:pPr>
            <w:r>
              <w:rPr>
                <w:b w:val="false"/>
                <w:bCs w:val="false"/>
                <w:color w:val="222222"/>
                <w:sz w:val="19"/>
                <w:szCs w:val="19"/>
              </w:rPr>
              <w:t xml:space="preserve">Le professionnel prend la décision finale — le système journalise sa validation</w:t>
            </w:r>
          </w:p>
        </w:tc>
      </w:tr>
    </w:tbl>
    <w:p>
      <w:pPr>
        <w:spacing w:before="200"/>
      </w:pPr>
      <w:r>
        <w:rPr>
          <w:sz w:val="2"/>
          <w:szCs w:val="2"/>
        </w:rPr>
        <w:t xml:space="preserve"> </w:t>
      </w:r>
    </w:p>
    <w:p>
      <w:pPr>
        <w:pStyle w:val="Heading2"/>
        <w:spacing w:after="140" w:before="320"/>
      </w:pPr>
      <w:r>
        <w:rPr>
          <w:b/>
          <w:bCs/>
          <w:color w:val="0E7C7B"/>
          <w:sz w:val="24"/>
          <w:szCs w:val="24"/>
        </w:rPr>
        <w:t xml:space="preserve">Élément « wow »</w:t>
      </w:r>
    </w:p>
    <w:p>
      <w:pPr>
        <w:spacing w:after="140" w:line="300"/>
      </w:pPr>
      <w:r>
        <w:rPr>
          <w:color w:val="222222"/>
          <w:sz w:val="21"/>
          <w:szCs w:val="21"/>
        </w:rPr>
        <w:t xml:space="preserve">La démonstration doit montrer que Médicure n'est pas une IA qui répond systématiquement « maladie détectée ». Elle peut dire, au contraire :</w:t>
      </w:r>
    </w:p>
    <w:p>
      <w:pPr>
        <w:pBdr>
          <w:left w:val="single" w:color="D98E04" w:sz="24" w:space="8"/>
        </w:pBdr>
        <w:shd w:fill="F2F4F6" w:val="clear"/>
        <w:spacing w:after="200" w:before="120"/>
        <w:ind w:left="360" w:right="360"/>
      </w:pPr>
      <w:r>
        <w:rPr>
          <w:i/>
          <w:iCs/>
          <w:color w:val="1A1A1A"/>
          <w:sz w:val="21"/>
          <w:szCs w:val="21"/>
        </w:rPr>
        <w:t xml:space="preserve">« Cette image est insuffisante. » — « Voici les zones qui nécessitent votre attention. » — « Le niveau de confiance est insuffisant : vérification humaine nécessaire. »</w:t>
      </w:r>
    </w:p>
    <w:p>
      <w:pPr>
        <w:spacing w:after="140" w:line="300"/>
      </w:pPr>
      <w:r>
        <w:rPr>
          <w:color w:val="222222"/>
          <w:sz w:val="21"/>
          <w:szCs w:val="21"/>
        </w:rPr>
        <w:t xml:space="preserve">Cette capacité à analyser, expliquer et reconnaître ses limites — plutôt que le score le plus élevé possible — est l'élément différenciateur central du projet.</w:t>
      </w:r>
    </w:p>
    <w:p>
      <w:r>
        <w:br w:type="page"/>
      </w:r>
    </w:p>
    <w:p>
      <w:pPr>
        <w:pStyle w:val="Heading1"/>
        <w:pBdr>
          <w:bottom w:val="single" w:color="0E7C7B" w:sz="8" w:space="4"/>
        </w:pBdr>
        <w:spacing w:after="200" w:before="480"/>
      </w:pPr>
      <w:r>
        <w:rPr>
          <w:b/>
          <w:bCs/>
          <w:color w:val="1B2A4A"/>
          <w:sz w:val="30"/>
          <w:szCs w:val="30"/>
        </w:rPr>
        <w:t xml:space="preserve">15. IMPACT, MODÈLE ÉCONOMIQUE ET ROADMAP</w:t>
      </w:r>
    </w:p>
    <w:p>
      <w:pPr>
        <w:pStyle w:val="Heading2"/>
        <w:spacing w:after="140" w:before="320"/>
      </w:pPr>
      <w:r>
        <w:rPr>
          <w:b/>
          <w:bCs/>
          <w:color w:val="0E7C7B"/>
          <w:sz w:val="24"/>
          <w:szCs w:val="24"/>
        </w:rPr>
        <w:t xml:space="preserve">15.1 Impact attendu</w:t>
      </w:r>
    </w:p>
    <w:p>
      <w:pPr>
        <w:pStyle w:val="ListParagraph"/>
        <w:numPr>
          <w:ilvl w:val="0"/>
          <w:numId w:val="1"/>
        </w:numPr>
        <w:spacing w:after="80" w:line="280"/>
      </w:pPr>
      <w:r>
        <w:rPr>
          <w:color w:val="222222"/>
          <w:sz w:val="21"/>
          <w:szCs w:val="21"/>
        </w:rPr>
        <w:t xml:space="preserve">Faciliter l'accès à une aide à l'analyse dans les structures peu dotées en spécialistes</w:t>
      </w:r>
    </w:p>
    <w:p>
      <w:pPr>
        <w:pStyle w:val="ListParagraph"/>
        <w:numPr>
          <w:ilvl w:val="0"/>
          <w:numId w:val="1"/>
        </w:numPr>
        <w:spacing w:after="80" w:line="280"/>
      </w:pPr>
      <w:r>
        <w:rPr>
          <w:color w:val="222222"/>
          <w:sz w:val="21"/>
          <w:szCs w:val="21"/>
        </w:rPr>
        <w:t xml:space="preserve">Accélérer les étapes de dépistage et de priorisation des cas urgents</w:t>
      </w:r>
    </w:p>
    <w:p>
      <w:pPr>
        <w:pStyle w:val="ListParagraph"/>
        <w:numPr>
          <w:ilvl w:val="0"/>
          <w:numId w:val="1"/>
        </w:numPr>
        <w:spacing w:after="80" w:line="280"/>
      </w:pPr>
      <w:r>
        <w:rPr>
          <w:color w:val="222222"/>
          <w:sz w:val="21"/>
          <w:szCs w:val="21"/>
        </w:rPr>
        <w:t xml:space="preserve">Réduire la charge liée à l'analyse répétitive de cas non prioritaires</w:t>
      </w:r>
    </w:p>
    <w:p>
      <w:pPr>
        <w:pStyle w:val="ListParagraph"/>
        <w:numPr>
          <w:ilvl w:val="0"/>
          <w:numId w:val="1"/>
        </w:numPr>
        <w:spacing w:after="80" w:line="280"/>
      </w:pPr>
      <w:r>
        <w:rPr>
          <w:color w:val="222222"/>
          <w:sz w:val="21"/>
          <w:szCs w:val="21"/>
        </w:rPr>
        <w:t xml:space="preserve">Fournir une seconde lecture automatisée traçable</w:t>
      </w:r>
    </w:p>
    <w:p>
      <w:pPr>
        <w:pStyle w:val="ListParagraph"/>
        <w:numPr>
          <w:ilvl w:val="0"/>
          <w:numId w:val="1"/>
        </w:numPr>
        <w:spacing w:after="80" w:line="280"/>
      </w:pPr>
      <w:r>
        <w:rPr>
          <w:color w:val="222222"/>
          <w:sz w:val="21"/>
          <w:szCs w:val="21"/>
        </w:rPr>
        <w:t xml:space="preserve">Améliorer l'accès aux technologies d'IA dans les structures disposant de moins de ressources, notamment via un mode dégradé hors-ligne (phase 3)</w:t>
      </w:r>
    </w:p>
    <w:p>
      <w:pPr>
        <w:pStyle w:val="Heading2"/>
        <w:spacing w:after="140" w:before="320"/>
      </w:pPr>
      <w:r>
        <w:rPr>
          <w:b/>
          <w:bCs/>
          <w:color w:val="0E7C7B"/>
          <w:sz w:val="24"/>
          <w:szCs w:val="24"/>
        </w:rPr>
        <w:t xml:space="preserve">15.2 Modèle économique envisagé</w:t>
      </w:r>
    </w:p>
    <w:p>
      <w:pPr>
        <w:spacing w:after="140" w:line="300"/>
      </w:pPr>
      <w:r>
        <w:rPr>
          <w:color w:val="222222"/>
          <w:sz w:val="21"/>
          <w:szCs w:val="21"/>
        </w:rPr>
        <w:t xml:space="preserve">Pour que l'impact social visé reste un plan et non une seule intention, plusieurs pistes de financement sont envisagées et seront affinées après le hackathon :</w:t>
      </w:r>
    </w:p>
    <w:p>
      <w:pPr>
        <w:pStyle w:val="ListParagraph"/>
        <w:numPr>
          <w:ilvl w:val="0"/>
          <w:numId w:val="1"/>
        </w:numPr>
        <w:spacing w:after="80" w:line="280"/>
      </w:pPr>
      <w:r>
        <w:rPr>
          <w:color w:val="222222"/>
          <w:sz w:val="21"/>
          <w:szCs w:val="21"/>
        </w:rPr>
        <w:t xml:space="preserve">SaaS à tarification dégressive selon le volume d'examens, pour les structures disposant de moyens</w:t>
      </w:r>
    </w:p>
    <w:p>
      <w:pPr>
        <w:pStyle w:val="ListParagraph"/>
        <w:numPr>
          <w:ilvl w:val="0"/>
          <w:numId w:val="1"/>
        </w:numPr>
        <w:spacing w:after="80" w:line="280"/>
      </w:pPr>
      <w:r>
        <w:rPr>
          <w:color w:val="222222"/>
          <w:sz w:val="21"/>
          <w:szCs w:val="21"/>
        </w:rPr>
        <w:t xml:space="preserve">Partenariats avec des ONG ou programmes de santé publique pour les structures à ressources limitées</w:t>
      </w:r>
    </w:p>
    <w:p>
      <w:pPr>
        <w:pStyle w:val="ListParagraph"/>
        <w:numPr>
          <w:ilvl w:val="0"/>
          <w:numId w:val="1"/>
        </w:numPr>
        <w:spacing w:after="80" w:line="280"/>
      </w:pPr>
      <w:r>
        <w:rPr>
          <w:color w:val="222222"/>
          <w:sz w:val="21"/>
          <w:szCs w:val="21"/>
        </w:rPr>
        <w:t xml:space="preserve">Subventions ou appels à projets liés à l'accès aux soins et à l'innovation en santé numérique</w:t>
      </w:r>
    </w:p>
    <w:p>
      <w:pPr>
        <w:pStyle w:val="Heading2"/>
        <w:spacing w:after="140" w:before="320"/>
      </w:pPr>
      <w:r>
        <w:rPr>
          <w:b/>
          <w:bCs/>
          <w:color w:val="0E7C7B"/>
          <w:sz w:val="24"/>
          <w:szCs w:val="24"/>
        </w:rPr>
        <w:t xml:space="preserve">15.3 Feuille de route en trois phases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200"/>
      </w:tblGrid>
      <w:tr>
        <w:trPr>
          <w:tblHeader/>
        </w:trPr>
        <w:tc>
          <w:tcPr>
            <w:tcW w:type="dxa" w:w="2200"/>
            <w:shd w:fill="1B2A4A" w:val="clear"/>
            <w:tcMar>
              <w:top w:type="dxa" w:w="100"/>
              <w:left w:type="dxa" w:w="120"/>
              <w:bottom w:type="dxa" w:w="100"/>
              <w:right w:type="dxa" w:w="120"/>
            </w:tcMar>
            <w:vAlign w:val="center"/>
          </w:tcPr>
          <w:p>
            <w:pPr>
              <w:spacing w:after="40"/>
            </w:pPr>
            <w:r>
              <w:rPr>
                <w:b/>
                <w:bCs/>
                <w:color w:val="FFFFFF"/>
                <w:sz w:val="19"/>
                <w:szCs w:val="19"/>
              </w:rPr>
              <w:t xml:space="preserve">Phase</w:t>
            </w:r>
          </w:p>
        </w:tc>
        <w:tc>
          <w:tcPr>
            <w:tcW w:type="dxa" w:w="1800"/>
            <w:shd w:fill="1B2A4A" w:val="clear"/>
            <w:tcMar>
              <w:top w:type="dxa" w:w="100"/>
              <w:left w:type="dxa" w:w="120"/>
              <w:bottom w:type="dxa" w:w="100"/>
              <w:right w:type="dxa" w:w="120"/>
            </w:tcMar>
            <w:vAlign w:val="center"/>
          </w:tcPr>
          <w:p>
            <w:pPr>
              <w:spacing w:after="40"/>
            </w:pPr>
            <w:r>
              <w:rPr>
                <w:b/>
                <w:bCs/>
                <w:color w:val="FFFFFF"/>
                <w:sz w:val="19"/>
                <w:szCs w:val="19"/>
              </w:rPr>
              <w:t xml:space="preserve">Horizon</w:t>
            </w:r>
          </w:p>
        </w:tc>
        <w:tc>
          <w:tcPr>
            <w:tcW w:type="dxa" w:w="5200"/>
            <w:shd w:fill="1B2A4A" w:val="clear"/>
            <w:tcMar>
              <w:top w:type="dxa" w:w="100"/>
              <w:left w:type="dxa" w:w="120"/>
              <w:bottom w:type="dxa" w:w="100"/>
              <w:right w:type="dxa" w:w="120"/>
            </w:tcMar>
            <w:vAlign w:val="center"/>
          </w:tcPr>
          <w:p>
            <w:pPr>
              <w:spacing w:after="40"/>
            </w:pPr>
            <w:r>
              <w:rPr>
                <w:b/>
                <w:bCs/>
                <w:color w:val="FFFFFF"/>
                <w:sz w:val="19"/>
                <w:szCs w:val="19"/>
              </w:rPr>
              <w:t xml:space="preserve">Contenu</w:t>
            </w:r>
          </w:p>
        </w:tc>
      </w:tr>
      <w:tr>
        <w:tc>
          <w:tcPr>
            <w:tcW w:type="dxa" w:w="2200"/>
            <w:tcMar>
              <w:top w:type="dxa" w:w="100"/>
              <w:left w:type="dxa" w:w="120"/>
              <w:bottom w:type="dxa" w:w="100"/>
              <w:right w:type="dxa" w:w="120"/>
            </w:tcMar>
            <w:vAlign w:val="center"/>
          </w:tcPr>
          <w:p>
            <w:pPr>
              <w:spacing w:after="40"/>
            </w:pPr>
            <w:r>
              <w:rPr>
                <w:b w:val="false"/>
                <w:bCs w:val="false"/>
                <w:color w:val="222222"/>
                <w:sz w:val="19"/>
                <w:szCs w:val="19"/>
              </w:rPr>
              <w:t xml:space="preserve">Phase 1 — MVP</w:t>
            </w:r>
          </w:p>
        </w:tc>
        <w:tc>
          <w:tcPr>
            <w:tcW w:type="dxa" w:w="1800"/>
            <w:tcMar>
              <w:top w:type="dxa" w:w="100"/>
              <w:left w:type="dxa" w:w="120"/>
              <w:bottom w:type="dxa" w:w="100"/>
              <w:right w:type="dxa" w:w="120"/>
            </w:tcMar>
            <w:vAlign w:val="center"/>
          </w:tcPr>
          <w:p>
            <w:pPr>
              <w:spacing w:after="40"/>
            </w:pPr>
            <w:r>
              <w:rPr>
                <w:b w:val="false"/>
                <w:bCs w:val="false"/>
                <w:color w:val="222222"/>
                <w:sz w:val="19"/>
                <w:szCs w:val="19"/>
              </w:rPr>
              <w:t xml:space="preserve">Hackathon</w:t>
            </w:r>
          </w:p>
        </w:tc>
        <w:tc>
          <w:tcPr>
            <w:tcW w:type="dxa" w:w="5200"/>
            <w:tcMar>
              <w:top w:type="dxa" w:w="100"/>
              <w:left w:type="dxa" w:w="120"/>
              <w:bottom w:type="dxa" w:w="100"/>
              <w:right w:type="dxa" w:w="120"/>
            </w:tcMar>
            <w:vAlign w:val="center"/>
          </w:tcPr>
          <w:p>
            <w:pPr>
              <w:spacing w:after="40"/>
            </w:pPr>
            <w:r>
              <w:rPr>
                <w:b w:val="false"/>
                <w:bCs w:val="false"/>
                <w:color w:val="222222"/>
                <w:sz w:val="19"/>
                <w:szCs w:val="19"/>
              </w:rPr>
              <w:t xml:space="preserve">Radiographie thoracique, 3 pathologies ciblées, MedGuard Engine complet, rapport</w:t>
            </w:r>
          </w:p>
        </w:tc>
      </w:tr>
      <w:tr>
        <w:tc>
          <w:tcPr>
            <w:tcW w:type="dxa" w:w="2200"/>
            <w:tcMar>
              <w:top w:type="dxa" w:w="100"/>
              <w:left w:type="dxa" w:w="120"/>
              <w:bottom w:type="dxa" w:w="100"/>
              <w:right w:type="dxa" w:w="120"/>
            </w:tcMar>
            <w:vAlign w:val="center"/>
          </w:tcPr>
          <w:p>
            <w:pPr>
              <w:spacing w:after="40"/>
            </w:pPr>
            <w:r>
              <w:rPr>
                <w:b w:val="false"/>
                <w:bCs w:val="false"/>
                <w:color w:val="222222"/>
                <w:sz w:val="19"/>
                <w:szCs w:val="19"/>
              </w:rPr>
              <w:t xml:space="preserve">Phase 2 — Extension</w:t>
            </w:r>
          </w:p>
        </w:tc>
        <w:tc>
          <w:tcPr>
            <w:tcW w:type="dxa" w:w="1800"/>
            <w:tcMar>
              <w:top w:type="dxa" w:w="100"/>
              <w:left w:type="dxa" w:w="120"/>
              <w:bottom w:type="dxa" w:w="100"/>
              <w:right w:type="dxa" w:w="120"/>
            </w:tcMar>
            <w:vAlign w:val="center"/>
          </w:tcPr>
          <w:p>
            <w:pPr>
              <w:spacing w:after="40"/>
            </w:pPr>
            <w:r>
              <w:rPr>
                <w:b w:val="false"/>
                <w:bCs w:val="false"/>
                <w:color w:val="222222"/>
                <w:sz w:val="19"/>
                <w:szCs w:val="19"/>
              </w:rPr>
              <w:t xml:space="preserve">6 à 12 mois</w:t>
            </w:r>
          </w:p>
        </w:tc>
        <w:tc>
          <w:tcPr>
            <w:tcW w:type="dxa" w:w="5200"/>
            <w:tcMar>
              <w:top w:type="dxa" w:w="100"/>
              <w:left w:type="dxa" w:w="120"/>
              <w:bottom w:type="dxa" w:w="100"/>
              <w:right w:type="dxa" w:w="120"/>
            </w:tcMar>
            <w:vAlign w:val="center"/>
          </w:tcPr>
          <w:p>
            <w:pPr>
              <w:spacing w:after="40"/>
            </w:pPr>
            <w:r>
              <w:rPr>
                <w:b w:val="false"/>
                <w:bCs w:val="false"/>
                <w:color w:val="222222"/>
                <w:sz w:val="19"/>
                <w:szCs w:val="19"/>
              </w:rPr>
              <w:t xml:space="preserve">Multi-modalités (dermatologie, microscopie), application mobile, suivi longitudinal pseudonymisé, monitoring de dérive</w:t>
            </w:r>
          </w:p>
        </w:tc>
      </w:tr>
      <w:tr>
        <w:tc>
          <w:tcPr>
            <w:tcW w:type="dxa" w:w="2200"/>
            <w:tcMar>
              <w:top w:type="dxa" w:w="100"/>
              <w:left w:type="dxa" w:w="120"/>
              <w:bottom w:type="dxa" w:w="100"/>
              <w:right w:type="dxa" w:w="120"/>
            </w:tcMar>
            <w:vAlign w:val="center"/>
          </w:tcPr>
          <w:p>
            <w:pPr>
              <w:spacing w:after="40"/>
            </w:pPr>
            <w:r>
              <w:rPr>
                <w:b w:val="false"/>
                <w:bCs w:val="false"/>
                <w:color w:val="222222"/>
                <w:sz w:val="19"/>
                <w:szCs w:val="19"/>
              </w:rPr>
              <w:t xml:space="preserve">Phase 3 — Déploiement</w:t>
            </w:r>
          </w:p>
        </w:tc>
        <w:tc>
          <w:tcPr>
            <w:tcW w:type="dxa" w:w="1800"/>
            <w:tcMar>
              <w:top w:type="dxa" w:w="100"/>
              <w:left w:type="dxa" w:w="120"/>
              <w:bottom w:type="dxa" w:w="100"/>
              <w:right w:type="dxa" w:w="120"/>
            </w:tcMar>
            <w:vAlign w:val="center"/>
          </w:tcPr>
          <w:p>
            <w:pPr>
              <w:spacing w:after="40"/>
            </w:pPr>
            <w:r>
              <w:rPr>
                <w:b w:val="false"/>
                <w:bCs w:val="false"/>
                <w:color w:val="222222"/>
                <w:sz w:val="19"/>
                <w:szCs w:val="19"/>
              </w:rPr>
              <w:t xml:space="preserve">Long terme</w:t>
            </w:r>
          </w:p>
        </w:tc>
        <w:tc>
          <w:tcPr>
            <w:tcW w:type="dxa" w:w="5200"/>
            <w:tcMar>
              <w:top w:type="dxa" w:w="100"/>
              <w:left w:type="dxa" w:w="120"/>
              <w:bottom w:type="dxa" w:w="100"/>
              <w:right w:type="dxa" w:w="120"/>
            </w:tcMar>
            <w:vAlign w:val="center"/>
          </w:tcPr>
          <w:p>
            <w:pPr>
              <w:spacing w:after="40"/>
            </w:pPr>
            <w:r>
              <w:rPr>
                <w:b w:val="false"/>
                <w:bCs w:val="false"/>
                <w:color w:val="222222"/>
                <w:sz w:val="19"/>
                <w:szCs w:val="19"/>
              </w:rPr>
              <w:t xml:space="preserve">Mode hors-ligne sécurisé, intégration hospitalière, télé-expertise, validation clinique externe, trajectoire réglementaire</w:t>
            </w:r>
          </w:p>
        </w:tc>
      </w:tr>
    </w:tbl>
    <w:p>
      <w:pPr>
        <w:spacing w:before="200"/>
      </w:pPr>
      <w:r>
        <w:rPr>
          <w:sz w:val="2"/>
          <w:szCs w:val="2"/>
        </w:rPr>
        <w:t xml:space="preserve"> </w:t>
      </w:r>
    </w:p>
    <w:p>
      <w:r>
        <w:br w:type="page"/>
      </w:r>
    </w:p>
    <w:p>
      <w:pPr>
        <w:pStyle w:val="Heading1"/>
        <w:pBdr>
          <w:bottom w:val="single" w:color="0E7C7B" w:sz="8" w:space="4"/>
        </w:pBdr>
        <w:spacing w:after="200" w:before="480"/>
      </w:pPr>
      <w:r>
        <w:rPr>
          <w:b/>
          <w:bCs/>
          <w:color w:val="1B2A4A"/>
          <w:sz w:val="30"/>
          <w:szCs w:val="30"/>
        </w:rPr>
        <w:t xml:space="preserve">16. LIMITES</w:t>
      </w:r>
    </w:p>
    <w:p>
      <w:pPr>
        <w:spacing w:after="140" w:line="300"/>
      </w:pPr>
      <w:r>
        <w:rPr>
          <w:color w:val="222222"/>
          <w:sz w:val="21"/>
          <w:szCs w:val="21"/>
        </w:rPr>
        <w:t xml:space="preserve">Médicure ne doit pas :</w:t>
      </w:r>
    </w:p>
    <w:p>
      <w:pPr>
        <w:pStyle w:val="ListParagraph"/>
        <w:numPr>
          <w:ilvl w:val="0"/>
          <w:numId w:val="1"/>
        </w:numPr>
        <w:spacing w:after="80" w:line="280"/>
      </w:pPr>
      <w:r>
        <w:rPr>
          <w:color w:val="222222"/>
          <w:sz w:val="21"/>
          <w:szCs w:val="21"/>
        </w:rPr>
        <w:t xml:space="preserve">Remplacer un médecin ou un radiologue</w:t>
      </w:r>
    </w:p>
    <w:p>
      <w:pPr>
        <w:pStyle w:val="ListParagraph"/>
        <w:numPr>
          <w:ilvl w:val="0"/>
          <w:numId w:val="1"/>
        </w:numPr>
        <w:spacing w:after="80" w:line="280"/>
      </w:pPr>
      <w:r>
        <w:rPr>
          <w:color w:val="222222"/>
          <w:sz w:val="21"/>
          <w:szCs w:val="21"/>
        </w:rPr>
        <w:t xml:space="preserve">Présenter une prédiction comme un diagnostic certain</w:t>
      </w:r>
    </w:p>
    <w:p>
      <w:pPr>
        <w:pStyle w:val="ListParagraph"/>
        <w:numPr>
          <w:ilvl w:val="0"/>
          <w:numId w:val="1"/>
        </w:numPr>
        <w:spacing w:after="80" w:line="280"/>
      </w:pPr>
      <w:r>
        <w:rPr>
          <w:color w:val="222222"/>
          <w:sz w:val="21"/>
          <w:szCs w:val="21"/>
        </w:rPr>
        <w:t xml:space="preserve">Garantir une précision de 100 %</w:t>
      </w:r>
    </w:p>
    <w:p>
      <w:pPr>
        <w:pStyle w:val="ListParagraph"/>
        <w:numPr>
          <w:ilvl w:val="0"/>
          <w:numId w:val="1"/>
        </w:numPr>
        <w:spacing w:after="80" w:line="280"/>
      </w:pPr>
      <w:r>
        <w:rPr>
          <w:color w:val="222222"/>
          <w:sz w:val="21"/>
          <w:szCs w:val="21"/>
        </w:rPr>
        <w:t xml:space="preserve">Être utilisé sans validation clinique appropriée</w:t>
      </w:r>
    </w:p>
    <w:p>
      <w:pPr>
        <w:pStyle w:val="ListParagraph"/>
        <w:numPr>
          <w:ilvl w:val="0"/>
          <w:numId w:val="1"/>
        </w:numPr>
        <w:spacing w:after="80" w:line="280"/>
      </w:pPr>
      <w:r>
        <w:rPr>
          <w:color w:val="222222"/>
          <w:sz w:val="21"/>
          <w:szCs w:val="21"/>
        </w:rPr>
        <w:t xml:space="preserve">Analyser des pathologies pour lesquelles il n'a pas été entraîné et validé</w:t>
      </w:r>
    </w:p>
    <w:p>
      <w:pPr>
        <w:pStyle w:val="ListParagraph"/>
        <w:numPr>
          <w:ilvl w:val="0"/>
          <w:numId w:val="1"/>
        </w:numPr>
        <w:spacing w:after="80" w:line="280"/>
      </w:pPr>
      <w:r>
        <w:rPr>
          <w:color w:val="222222"/>
          <w:sz w:val="21"/>
          <w:szCs w:val="21"/>
        </w:rPr>
        <w:t xml:space="preserve">Être déployé en usage réel sans consentement patient formalisé ni cadre de responsabilité clair (section 10)</w:t>
      </w:r>
    </w:p>
    <w:p>
      <w:pPr>
        <w:spacing w:after="140" w:line="300"/>
      </w:pPr>
      <w:r>
        <w:rPr>
          <w:color w:val="222222"/>
          <w:sz w:val="21"/>
          <w:szCs w:val="21"/>
        </w:rPr>
        <w:t xml:space="preserve">Toute utilisation clinique réelle devra faire l'objet d'une validation médicale, technique et réglementaire appropriée, incluant une comparaison à une lecture humaine de référence.</w:t>
      </w:r>
    </w:p>
    <w:p>
      <w:r>
        <w:br w:type="page"/>
      </w:r>
    </w:p>
    <w:p>
      <w:pPr>
        <w:pStyle w:val="Heading1"/>
        <w:pBdr>
          <w:bottom w:val="single" w:color="0E7C7B" w:sz="8" w:space="4"/>
        </w:pBdr>
        <w:spacing w:after="200" w:before="480"/>
      </w:pPr>
      <w:r>
        <w:rPr>
          <w:b/>
          <w:bCs/>
          <w:color w:val="1B2A4A"/>
          <w:sz w:val="30"/>
          <w:szCs w:val="30"/>
        </w:rPr>
        <w:t xml:space="preserve">17. VISION À LONG TERME</w:t>
      </w:r>
    </w:p>
    <w:p>
      <w:pPr>
        <w:spacing w:after="140" w:line="300"/>
      </w:pPr>
      <w:r>
        <w:rPr>
          <w:color w:val="222222"/>
          <w:sz w:val="21"/>
          <w:szCs w:val="21"/>
        </w:rPr>
        <w:t xml:space="preserve">Médicure ambitionne de devenir une plateforme d'intelligence artificielle capable d'assister les professionnels de santé dans l'analyse de différents types d'images médicales, en conservant à chaque étape la même exigence de fiabilité que celle posée dès le MVP.</w:t>
      </w:r>
    </w:p>
    <w:p>
      <w:pPr>
        <w:pBdr>
          <w:left w:val="single" w:color="1B2A4A" w:sz="24" w:space="8"/>
        </w:pBdr>
        <w:shd w:fill="F2F4F6" w:val="clear"/>
        <w:spacing w:after="200" w:before="120"/>
        <w:ind w:left="360" w:right="360"/>
      </w:pPr>
      <w:r>
        <w:rPr>
          <w:i/>
          <w:iCs/>
          <w:color w:val="1A1A1A"/>
          <w:sz w:val="21"/>
          <w:szCs w:val="21"/>
        </w:rPr>
        <w:t xml:space="preserve">CAPTURER → CONTRÔLER → ANALYSER → EXPLIQUER → ALERTER → SUIVRE</w:t>
      </w:r>
    </w:p>
    <w:p>
      <w:pPr>
        <w:spacing w:after="140" w:line="300"/>
      </w:pPr>
      <w:r>
        <w:rPr>
          <w:color w:val="222222"/>
          <w:sz w:val="21"/>
          <w:szCs w:val="21"/>
        </w:rPr>
        <w:t xml:space="preserve">Tout en conservant une règle fondamentale, non négociable à chaque phase de croissance :</w:t>
      </w:r>
    </w:p>
    <w:p>
      <w:pPr>
        <w:pBdr>
          <w:left w:val="single" w:color="0E7C7B" w:sz="24" w:space="8"/>
        </w:pBdr>
        <w:shd w:fill="F2F4F6" w:val="clear"/>
        <w:spacing w:after="200" w:before="120"/>
        <w:ind w:left="360" w:right="360"/>
      </w:pPr>
      <w:r>
        <w:rPr>
          <w:i/>
          <w:iCs/>
          <w:color w:val="1A1A1A"/>
          <w:sz w:val="21"/>
          <w:szCs w:val="21"/>
        </w:rPr>
        <w:t xml:space="preserve">« L'IA assiste. Le professionnel de santé décide. »</w:t>
      </w:r>
    </w:p>
    <w:p>
      <w:r>
        <w:br w:type="page"/>
      </w:r>
    </w:p>
    <w:p>
      <w:pPr>
        <w:pStyle w:val="Heading1"/>
        <w:pBdr>
          <w:bottom w:val="single" w:color="0E7C7B" w:sz="8" w:space="4"/>
        </w:pBdr>
        <w:spacing w:after="200" w:before="480"/>
      </w:pPr>
      <w:r>
        <w:rPr>
          <w:b/>
          <w:bCs/>
          <w:color w:val="1B2A4A"/>
          <w:sz w:val="30"/>
          <w:szCs w:val="30"/>
        </w:rPr>
        <w:t xml:space="preserve">18. CONCLUSION</w:t>
      </w:r>
    </w:p>
    <w:p>
      <w:pPr>
        <w:spacing w:after="140" w:line="300"/>
      </w:pPr>
      <w:r>
        <w:rPr>
          <w:color w:val="222222"/>
          <w:sz w:val="21"/>
          <w:szCs w:val="21"/>
        </w:rPr>
        <w:t xml:space="preserve">Médicure AI propose une nouvelle approche de l'intelligence artificielle médicale. L'objectif n'est pas simplement de créer une IA capable de reconnaître une maladie sur une image. L'objectif est de créer une IA qui observe la qualité de l'examen, comprend ce qu'elle analyse, détecte les anomalies recherchées, indique où elles se trouvent, mesure honnêtement son niveau de confiance, reconnaît ses limites — biais compris — et fournit au professionnel de santé les informations nécessaires pour effectuer sa propre évaluation.</w:t>
      </w:r>
    </w:p>
    <w:p>
      <w:pPr>
        <w:spacing w:after="140" w:line="300"/>
      </w:pPr>
      <w:r>
        <w:rPr>
          <w:color w:val="222222"/>
          <w:sz w:val="21"/>
          <w:szCs w:val="21"/>
        </w:rPr>
        <w:t xml:space="preserve">Cette version du cahier des charges ne se contente pas de lister des fonctionnalités : elle assume ses zones de risque, relie explicitement ses mécanismes entre eux, et pose une trajectoire d'évolution réaliste plutôt qu'une promesse vague. C'est cette rigueur, autant que l'innovation technique, qui doit porter le projet.</w:t>
      </w:r>
    </w:p>
    <w:p>
      <w:pPr>
        <w:spacing w:before="400"/>
        <w:jc w:val="center"/>
      </w:pPr>
      <w:r>
        <w:rPr>
          <w:b/>
          <w:bCs/>
          <w:color w:val="1B2A4A"/>
          <w:sz w:val="32"/>
          <w:szCs w:val="32"/>
        </w:rPr>
        <w:t xml:space="preserve">MÉDICURE AI</w:t>
      </w:r>
    </w:p>
    <w:p>
      <w:pPr>
        <w:spacing w:before="120"/>
        <w:jc w:val="center"/>
      </w:pPr>
      <w:r>
        <w:rPr>
          <w:i/>
          <w:iCs/>
          <w:color w:val="0E7C7B"/>
          <w:sz w:val="22"/>
          <w:szCs w:val="22"/>
        </w:rPr>
        <w:t xml:space="preserve">« L'IA observe. Le professionnel de santé décide. »</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Page </w:t>
    </w:r>
    <w:r>
      <w:rPr>
        <w:color w:val="5B6570"/>
        <w:sz w:val="16"/>
        <w:szCs w:val="16"/>
      </w:rPr>
      <w:fldChar w:fldCharType="begin"/>
      <w:instrText xml:space="preserve">PAGE</w:instrText>
      <w:fldChar w:fldCharType="separate"/>
      <w:fldChar w:fldCharType="end"/>
    </w:r>
    <w:r>
      <w:rPr>
        <w:color w:val="5B6570"/>
        <w:sz w:val="16"/>
        <w:szCs w:val="16"/>
      </w:rPr>
      <w:t xml:space="preserve"> / </w:t>
    </w:r>
    <w:r>
      <w:rPr>
        <w:color w:val="5B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MÉDICURE AI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Médicure AI</dc:title>
  <dc:creator>Médicure AI</dc:creator>
  <cp:lastModifiedBy>Un-named</cp:lastModifiedBy>
  <cp:revision>1</cp:revision>
  <dcterms:created xsi:type="dcterms:W3CDTF">2026-09-11T22:23:58.274Z</dcterms:created>
  <dcterms:modified xsi:type="dcterms:W3CDTF">2026-09-11T22:23:58.274Z</dcterms:modified>
</cp:coreProperties>
</file>

<file path=docProps/custom.xml><?xml version="1.0" encoding="utf-8"?>
<Properties xmlns="http://schemas.openxmlformats.org/officeDocument/2006/custom-properties" xmlns:vt="http://schemas.openxmlformats.org/officeDocument/2006/docPropsVTypes"/>
</file>