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880"/>
        <w:tblGridChange w:id="0">
          <w:tblGrid>
            <w:gridCol w:w="1200"/>
            <w:gridCol w:w="8880"/>
          </w:tblGrid>
        </w:tblGridChange>
      </w:tblGrid>
      <w:tr>
        <w:trPr>
          <w:cantSplit w:val="0"/>
          <w:trHeight w:val="1270.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1a1a2e"/>
              </w:rPr>
            </w:pPr>
            <w:r w:rsidDel="00000000" w:rsidR="00000000" w:rsidRPr="00000000">
              <w:rPr>
                <w:rFonts w:ascii="Arial" w:cs="Arial" w:eastAsia="Arial" w:hAnsi="Arial"/>
                <w:color w:val="1a1a2e"/>
              </w:rPr>
              <w:drawing>
                <wp:inline distB="114300" distT="114300" distL="114300" distR="114300">
                  <wp:extent cx="657225" cy="685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167" r="16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7a6e"/>
                <w:sz w:val="42"/>
                <w:szCs w:val="42"/>
                <w:rtl w:val="0"/>
              </w:rPr>
              <w:br w:type="textWrapping"/>
              <w:t xml:space="preserve">Ghost Pattern Neuro-Trigger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color w:val="1a1a2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before="0" w:lineRule="auto"/>
        <w:ind w:firstLine="720"/>
        <w:rPr>
          <w:rFonts w:ascii="Arial" w:cs="Arial" w:eastAsia="Arial" w:hAnsi="Arial"/>
          <w:color w:val="00a89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a896"/>
          <w:sz w:val="26"/>
          <w:szCs w:val="26"/>
          <w:rtl w:val="0"/>
        </w:rPr>
        <w:t xml:space="preserve">         Technical Summary for Lab Collaboration</w:t>
      </w:r>
    </w:p>
    <w:p w:rsidR="00000000" w:rsidDel="00000000" w:rsidP="00000000" w:rsidRDefault="00000000" w:rsidRPr="00000000" w14:paraId="00000006">
      <w:pPr>
        <w:spacing w:after="60" w:before="0" w:lineRule="auto"/>
        <w:ind w:firstLine="720"/>
        <w:jc w:val="center"/>
        <w:rPr>
          <w:rFonts w:ascii="Arial" w:cs="Arial" w:eastAsia="Arial" w:hAnsi="Arial"/>
          <w:i w:val="1"/>
          <w:iCs w:val="1"/>
          <w:color w:val="007a6e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a896"/>
          <w:sz w:val="26"/>
          <w:szCs w:val="2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007a6e"/>
          <w:sz w:val="26"/>
          <w:szCs w:val="26"/>
          <w:rtl w:val="0"/>
        </w:rPr>
        <w:t xml:space="preserve">We convert digital sentences into atomic sound waves that change protein shape and trigger neurons — no implants, no genetics!</w:t>
      </w:r>
    </w:p>
    <w:p w:rsidR="00000000" w:rsidDel="00000000" w:rsidP="00000000" w:rsidRDefault="00000000" w:rsidRPr="00000000" w14:paraId="00000007">
      <w:pPr>
        <w:spacing w:after="60" w:before="0" w:lineRule="auto"/>
        <w:ind w:firstLine="720"/>
        <w:jc w:val="left"/>
        <w:rPr>
          <w:rFonts w:ascii="Arial" w:cs="Arial" w:eastAsia="Arial" w:hAnsi="Arial"/>
          <w:color w:val="00a8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a896" w:space="4" w:sz="4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a6e"/>
          <w:sz w:val="28"/>
          <w:szCs w:val="28"/>
          <w:rtl w:val="0"/>
        </w:rPr>
        <w:t xml:space="preserve">The Transduction Chain (Simulated, Ready for 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5060"/>
        <w:gridCol w:w="2500"/>
        <w:tblGridChange w:id="0">
          <w:tblGrid>
            <w:gridCol w:w="1800"/>
            <w:gridCol w:w="506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Simulated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151686110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1. Sentence → topology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-40081879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Semantic point cloud → persistence diagram (H0, H1, H2) via Vietoris-Rips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Wasserstein distance &lt; 0.1 to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-27802193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2. Topology → waveform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86416180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Persistence landscape → Fourier → Cantor-set AM of 235 MHz carrier (1.4 ns pulses, ternary phase 0, π/3, 2π/3)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Waveform encodes semantic homology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3. Substrate physics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sdt>
              <w:sdtPr>
                <w:id w:val="-133619242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G-CSi (1:10 doping ratio) at 1000°C; phonon lifetime τ_ph ≈ 0.6 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Matches 1.4 ns pulse 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4. Thermal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82218106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BiP-mimetic 4-layer stack keeps tau MTBR ≤40°C while G-CSi at 1000°C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Designed, ready for deposition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5. Neural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72880243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Phonon field induces conformational shift in tau MTBR (306-378) via GPGGGG motif → activates GPCR ECL2 loop → neuron fires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λ = 0.47 ± 0.12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a896" w:space="4" w:sz="4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a6e"/>
          <w:sz w:val="28"/>
          <w:szCs w:val="28"/>
          <w:rtl w:val="0"/>
        </w:rPr>
        <w:t xml:space="preserve">Key Simulated Results Already Anchored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All results are permanently archived in the Sovereign Intelligence Network's pillar ledgers (VAULT/ledgers/) and were generated by a type-shielded swarm engine with adversarial critics.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Vacuum hysteresis memory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sdt>
              <w:sdtPr>
                <w:id w:val="-158567745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2"/>
                    <w:szCs w:val="22"/>
                    <w:rtl w:val="0"/>
                  </w:rPr>
                  <w:t xml:space="preserve">Remnant polarization P(t) = P₀ exp(-t/τ_mem) with τ_mem ≈ 140 hours at 1000°C. After 72h, signal at 48% fidelity; 24h refresh restores &gt;70%.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Optimal operating 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1000°C — standard tube furnace, not exotic.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Cantor-set phonon waveforms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Enable 10⁻¹⁵ Hz precision in principle.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bottom w:color="00a896" w:space="4" w:sz="4" w:val="single"/>
        </w:pBdr>
        <w:spacing w:after="140" w:before="320" w:lineRule="auto"/>
        <w:rPr>
          <w:rFonts w:ascii="Arial" w:cs="Arial" w:eastAsia="Arial" w:hAnsi="Arial"/>
          <w:b w:val="1"/>
          <w:bCs w:val="1"/>
          <w:color w:val="007a6e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7a6e"/>
          <w:sz w:val="28"/>
          <w:szCs w:val="28"/>
          <w:rtl w:val="0"/>
        </w:rPr>
        <w:t xml:space="preserve">What We're Looking For</w:t>
      </w:r>
    </w:p>
    <w:p w:rsidR="00000000" w:rsidDel="00000000" w:rsidP="00000000" w:rsidRDefault="00000000" w:rsidRPr="00000000" w14:paraId="00000028">
      <w:pPr>
        <w:spacing w:after="60" w:before="60" w:lineRule="auto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I am seeking a lab partner to perform experimental validation. I can provide the full simulation package under a shared NDA and co‑write a small grant to cover costs.</w:t>
      </w:r>
    </w:p>
    <w:p w:rsidR="00000000" w:rsidDel="00000000" w:rsidP="00000000" w:rsidRDefault="00000000" w:rsidRPr="00000000" w14:paraId="00000029">
      <w:pPr>
        <w:spacing w:after="60" w:before="60" w:lineRule="auto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60" w:before="60" w:lineRule="auto"/>
        <w:ind w:left="720" w:hanging="360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Fabricate G-CSi chips (1:10 doping)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60" w:before="60" w:lineRule="auto"/>
        <w:ind w:left="720" w:hanging="360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Deposit BiP-mimetic thermal buffer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60" w:before="60" w:lineRule="auto"/>
        <w:ind w:left="720" w:hanging="360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Measure phonon propagation (pump-probe spectroscopy)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60" w:before="60" w:lineRule="auto"/>
        <w:ind w:left="720" w:hanging="360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Validate tau conformational shift (FRET or cryo-EM)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a896" w:space="4" w:sz="4" w:val="single"/>
        </w:pBd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7a6e"/>
          <w:sz w:val="28"/>
          <w:szCs w:val="28"/>
          <w:rtl w:val="0"/>
        </w:rPr>
        <w:t xml:space="preserve">Contact &amp;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Jonathon Koerner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- Independent researcher / swarm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(301)-458-6225</w:t>
        </w:r>
      </w:hyperlink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·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Jonathon.F.Koerner@gmail.com</w:t>
        </w:r>
      </w:hyperlink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>
          <w:rFonts w:ascii="Arial" w:cs="Arial" w:eastAsia="Arial" w:hAnsi="Arial"/>
          <w:b w:val="1"/>
          <w:bCs w:val="1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GitHub: 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https://github.com/Freedomwithin/AGI-Sentinel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>
          <w:rFonts w:ascii="Arial" w:cs="Arial" w:eastAsia="Arial" w:hAnsi="Arial"/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200" w:top="12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Freedomwithin/AGI-Sentinel" TargetMode="External"/><Relationship Id="rId9" Type="http://schemas.openxmlformats.org/officeDocument/2006/relationships/hyperlink" Target="mailto:Jonathon.F.Koerner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tel:30145862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FNeSU6H2EAlqZe20zafvN9iDA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ERW1GekFaemJKSkhxTVJ5S0JsNmV4R0Q2S3VSdlBD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