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b/>
          <w:bCs/>
          <w:color w:val="1F4E79"/>
          <w:sz w:val="44"/>
          <w:szCs w:val="44"/>
        </w:rPr>
        <w:t xml:space="preserve">Modelling Stock Price Movements with Stochastic Processes</w:t>
      </w:r>
    </w:p>
    <w:p>
      <w:pPr>
        <w:spacing w:after="600"/>
        <w:jc w:val="center"/>
      </w:pPr>
      <w:r>
        <w:rPr>
          <w:color w:val="595959"/>
          <w:sz w:val="26"/>
          <w:szCs w:val="26"/>
        </w:rPr>
        <w:t xml:space="preserve">Geometric Brownian Motion, Mean-Reverting and Jump-Diffusion Models Applied to Apple Inc. (AAPL)</w:t>
      </w:r>
    </w:p>
    <w:p>
      <w:pPr>
        <w:spacing w:after="80"/>
        <w:jc w:val="center"/>
      </w:pPr>
      <w:r>
        <w:rPr>
          <w:sz w:val="24"/>
          <w:szCs w:val="24"/>
        </w:rPr>
        <w:t xml:space="preserve">Stochastic Processes Problem Set: Final Report</w:t>
      </w:r>
    </w:p>
    <w:p>
      <w:pPr>
        <w:spacing w:after="80"/>
        <w:jc w:val="center"/>
      </w:pPr>
      <w:r>
        <w:rPr>
          <w:sz w:val="24"/>
          <w:szCs w:val="24"/>
        </w:rPr>
        <w:t xml:space="preserve">Quantitative Research Team</w:t>
      </w:r>
    </w:p>
    <w:p>
      <w:pPr>
        <w:spacing w:after="1200"/>
        <w:jc w:val="center"/>
      </w:pPr>
      <w:r>
        <w:rPr>
          <w:sz w:val="24"/>
          <w:szCs w:val="24"/>
        </w:rPr>
        <w:t xml:space="preserve">October 2026</w:t>
      </w:r>
    </w:p>
    <w:p>
      <w:pPr>
        <w:pBdr>
          <w:left w:val="single" w:color="1F4E79" w:sz="18" w:space="8"/>
        </w:pBdr>
        <w:shd w:fill="F2F5F9" w:color="auto" w:val="clear"/>
        <w:spacing w:after="120"/>
      </w:pPr>
      <w:r>
        <w:rPr>
          <w:b/>
          <w:bCs/>
          <w:color w:val="1F4E79"/>
        </w:rPr>
        <w:t xml:space="preserve">Executive summary</w:t>
      </w:r>
    </w:p>
    <w:p>
      <w:pPr>
        <w:pStyle w:val="ListParagraph"/>
        <w:numPr>
          <w:ilvl w:val="0"/>
          <w:numId w:val="2"/>
        </w:numPr>
        <w:spacing w:after="80" w:line="276"/>
      </w:pPr>
      <w:r>
        <w:t xml:space="preserve">We calibrated three stochastic models to two years of AAPL daily prices (8 Jul 2024 – 13 Jul 2026; last close $316.15) and simulated 10,000 paths per model over 30, 60 and 180 trading days.</w:t>
      </w:r>
    </w:p>
    <w:p>
      <w:pPr>
        <w:pStyle w:val="ListParagraph"/>
        <w:numPr>
          <w:ilvl w:val="0"/>
          <w:numId w:val="2"/>
        </w:numPr>
        <w:spacing w:after="80" w:line="276"/>
      </w:pPr>
      <w:r>
        <w:t xml:space="preserve">AAPL returns are clearly non-normal (excess kurtosis 10.6) and show strong volatility clustering. Jump-diffusion fits the data best by a wide margin (AIC 100 points below GBM).</w:t>
      </w:r>
    </w:p>
    <w:p>
      <w:pPr>
        <w:pStyle w:val="ListParagraph"/>
        <w:numPr>
          <w:ilvl w:val="0"/>
          <w:numId w:val="2"/>
        </w:numPr>
        <w:spacing w:after="80" w:line="276"/>
      </w:pPr>
      <w:r>
        <w:t xml:space="preserve">GBM and Merton give similar central forecasts (180-day median $356.86 and $364.32) and probabilities of loss (30% and 26%). The mean-reverting model is the outlier: AAPL ended 14% above its two-year trend, so it predicts a pull-back (180-day median $309.91).</w:t>
      </w:r>
    </w:p>
    <w:p>
      <w:pPr>
        <w:pStyle w:val="ListParagraph"/>
        <w:numPr>
          <w:ilvl w:val="0"/>
          <w:numId w:val="2"/>
        </w:numPr>
        <w:spacing w:after="80" w:line="276"/>
      </w:pPr>
      <w:r>
        <w:t xml:space="preserve">Out of sample, the GBM and Merton 90% intervals are well calibrated (95% and 93% coverage). The mean-reverting intervals are too narrow (85%) and missed the realised price in the 180-day hold-out. No model provides a reliable directional signal.</w:t>
      </w:r>
    </w:p>
    <w:p>
      <w:pPr>
        <w:pStyle w:val="ListParagraph"/>
        <w:numPr>
          <w:ilvl w:val="0"/>
          <w:numId w:val="2"/>
        </w:numPr>
        <w:spacing w:after="80" w:line="276"/>
      </w:pPr>
      <w:r>
        <w:t xml:space="preserve">Recommendation: use the models to size positions and set risk limits, not to time the market. Budget for a 95% one-month VaR of about 12%, and hold AAPL as part of a diversified portfolio rather than as a concentrated bet.</w:t>
      </w:r>
    </w:p>
    <w:p>
      <w:r>
        <w:br w:type="page"/>
      </w:r>
    </w:p>
    <w:p>
      <w:pPr>
        <w:pStyle w:val="Heading1"/>
      </w:pPr>
      <w:r>
        <w:t xml:space="preserve">1. Introduction and Objectives</w:t>
      </w:r>
    </w:p>
    <w:p>
      <w:pPr>
        <w:spacing w:after="140" w:line="288"/>
        <w:jc w:val="both"/>
      </w:pPr>
      <w:r>
        <w:t xml:space="preserve">Investors make decisions about prices that are not yet known. Stochastic processes describe the probability distribution of future prices rather than a single forecast, so they make questions such as "how likely is a loss of more than 10% over the next quarter?" quantitative. They are the foundation of derivatives pricing (Black &amp; Scholes, 1973; Merton, 1976) and of simulation-based risk management (Glasserman, 2004).</w:t>
      </w:r>
    </w:p>
    <w:p>
      <w:pPr>
        <w:spacing w:after="140" w:line="288"/>
        <w:jc w:val="both"/>
      </w:pPr>
      <w:r>
        <w:t xml:space="preserve">This report applies three such models to Apple Inc. (AAPL), a large, liquid technology stock. The objectives are to:</w:t>
      </w:r>
    </w:p>
    <w:p>
      <w:pPr>
        <w:pStyle w:val="ListParagraph"/>
        <w:numPr>
          <w:ilvl w:val="0"/>
          <w:numId w:val="2"/>
        </w:numPr>
        <w:spacing w:after="80" w:line="276"/>
      </w:pPr>
      <w:r>
        <w:t xml:space="preserve">collect and clean at least one year of daily closing prices;</w:t>
      </w:r>
    </w:p>
    <w:p>
      <w:pPr>
        <w:pStyle w:val="ListParagraph"/>
        <w:numPr>
          <w:ilvl w:val="0"/>
          <w:numId w:val="2"/>
        </w:numPr>
        <w:spacing w:after="80" w:line="276"/>
      </w:pPr>
      <w:r>
        <w:t xml:space="preserve">select stochastic models suited to the stock's statistical properties and justify the choice;</w:t>
      </w:r>
    </w:p>
    <w:p>
      <w:pPr>
        <w:pStyle w:val="ListParagraph"/>
        <w:numPr>
          <w:ilvl w:val="0"/>
          <w:numId w:val="2"/>
        </w:numPr>
        <w:spacing w:after="80" w:line="276"/>
      </w:pPr>
      <w:r>
        <w:t xml:space="preserve">implement the stochastic differential equations (SDEs) in modular Python code and simulate future price paths with Monte Carlo over 30, 60 and 180 trading days;</w:t>
      </w:r>
    </w:p>
    <w:p>
      <w:pPr>
        <w:pStyle w:val="ListParagraph"/>
        <w:numPr>
          <w:ilvl w:val="0"/>
          <w:numId w:val="2"/>
        </w:numPr>
        <w:spacing w:after="80" w:line="276"/>
      </w:pPr>
      <w:r>
        <w:t xml:space="preserve">compare the models on volatility, trend, probability of loss and tail risk, and test them out of sample;</w:t>
      </w:r>
    </w:p>
    <w:p>
      <w:pPr>
        <w:pStyle w:val="ListParagraph"/>
        <w:numPr>
          <w:ilvl w:val="0"/>
          <w:numId w:val="2"/>
        </w:numPr>
        <w:spacing w:after="80" w:line="276"/>
      </w:pPr>
      <w:r>
        <w:t xml:space="preserve">translate the findings into practical recommendations for investors.</w:t>
      </w:r>
    </w:p>
    <w:p>
      <w:pPr>
        <w:spacing w:after="140" w:line="288"/>
        <w:jc w:val="both"/>
      </w:pPr>
      <w:r>
        <w:t xml:space="preserve">All code, data and figures are in the accompanying notebook </w:t>
      </w:r>
      <w:r>
        <w:rPr>
          <w:i/>
          <w:iCs/>
        </w:rPr>
        <w:t xml:space="preserve">Stochastic_Stock_Models.ipynb</w:t>
      </w:r>
      <w:r>
        <w:t xml:space="preserve"> and in the modules </w:t>
      </w:r>
      <w:r>
        <w:rPr>
          <w:i/>
          <w:iCs/>
        </w:rPr>
        <w:t xml:space="preserve">stock_models.py</w:t>
      </w:r>
      <w:r>
        <w:t xml:space="preserve"> and </w:t>
      </w:r>
      <w:r>
        <w:rPr>
          <w:i/>
          <w:iCs/>
        </w:rPr>
        <w:t xml:space="preserve">plots.py</w:t>
      </w:r>
      <w:r>
        <w:t xml:space="preserve">. Every number in this report is generated by that code with a fixed random seed.</w:t>
      </w:r>
    </w:p>
    <w:p>
      <w:pPr>
        <w:pStyle w:val="Heading1"/>
      </w:pPr>
      <w:r>
        <w:t xml:space="preserve">2. Data and Preprocessing</w:t>
      </w:r>
    </w:p>
    <w:p>
      <w:pPr>
        <w:pStyle w:val="Heading2"/>
      </w:pPr>
      <w:r>
        <w:t xml:space="preserve">2.1 Source</w:t>
      </w:r>
    </w:p>
    <w:p>
      <w:pPr>
        <w:spacing w:after="140" w:line="288"/>
        <w:jc w:val="both"/>
      </w:pPr>
      <w:r>
        <w:t xml:space="preserve">The dataset contains AAPL daily open, high, low, close and volume from 2021-07-13 to 2026-07-13 (1,255 trading days). The prices were downloaded from Yahoo Finance with the </w:t>
      </w:r>
      <w:r>
        <w:rPr>
          <w:i/>
          <w:iCs/>
        </w:rPr>
        <w:t xml:space="preserve">yfinance</w:t>
      </w:r>
      <w:r>
        <w:t xml:space="preserve"> library (Aroussi, 2026) with split and dividend adjustment, and published as a CSV file (Jonasmiles, 2026). The analysis environment could not reach Yahoo Finance directly, so this export was used. It ends on 13 July 2026, and all forecasts start from that date. The function </w:t>
      </w:r>
      <w:r>
        <w:rPr>
          <w:i/>
          <w:iCs/>
        </w:rPr>
        <w:t xml:space="preserve">download_yfinance()</w:t>
      </w:r>
      <w:r>
        <w:t xml:space="preserve"> in the code reproduces the download and extends the sample to the present wherever Yahoo Finance is reachable.</w:t>
      </w:r>
    </w:p>
    <w:p>
      <w:pPr>
        <w:spacing w:after="140" w:line="288"/>
        <w:jc w:val="both"/>
      </w:pPr>
      <w:r>
        <w:t xml:space="preserve">Models were calibrated on the most recent two years (504 trading days, 8 July 2024 – 13 July 2026). This is long enough for stable volatility estimates and short enough to reflect the current market regime. The earlier three years serve as the history for the rolling out-of-sample backtest (Section 5.4).</w:t>
      </w:r>
    </w:p>
    <w:p>
      <w:pPr>
        <w:pStyle w:val="Heading2"/>
      </w:pPr>
      <w:r>
        <w:t xml:space="preserve">2.2 Cleaning</w:t>
      </w:r>
    </w:p>
    <w:p>
      <w:pPr>
        <w:spacing w:after="140" w:line="288"/>
        <w:jc w:val="both"/>
      </w:pPr>
      <w:r>
        <w:t xml:space="preserve">The function </w:t>
      </w:r>
      <w:r>
        <w:rPr>
          <w:i/>
          <w:iCs/>
        </w:rPr>
        <w:t xml:space="preserve">clean_prices()</w:t>
      </w:r>
      <w:r>
        <w:t xml:space="preserve"> applies the following pipeline:</w:t>
      </w:r>
    </w:p>
    <w:p>
      <w:pPr>
        <w:pStyle w:val="ListParagraph"/>
        <w:numPr>
          <w:ilvl w:val="0"/>
          <w:numId w:val="2"/>
        </w:numPr>
        <w:spacing w:after="80" w:line="276"/>
      </w:pPr>
      <w:r>
        <w:t xml:space="preserve">parse dates, discard unparseable rows and sort chronologically;</w:t>
      </w:r>
    </w:p>
    <w:p>
      <w:pPr>
        <w:pStyle w:val="ListParagraph"/>
        <w:numPr>
          <w:ilvl w:val="0"/>
          <w:numId w:val="2"/>
        </w:numPr>
        <w:spacing w:after="80" w:line="276"/>
      </w:pPr>
      <w:r>
        <w:t xml:space="preserve">remove duplicate dates (keeping the last record) and treat non-positive prices as missing;</w:t>
      </w:r>
    </w:p>
    <w:p>
      <w:pPr>
        <w:pStyle w:val="ListParagraph"/>
        <w:numPr>
          <w:ilvl w:val="0"/>
          <w:numId w:val="2"/>
        </w:numPr>
        <w:spacing w:after="80" w:line="276"/>
      </w:pPr>
      <w:r>
        <w:t xml:space="preserve">interpolate gaps of at most two consecutive days and drop longer gaps, since inventing data over a long gap would understate volatility;</w:t>
      </w:r>
    </w:p>
    <w:p>
      <w:pPr>
        <w:pStyle w:val="ListParagraph"/>
        <w:numPr>
          <w:ilvl w:val="0"/>
          <w:numId w:val="2"/>
        </w:numPr>
        <w:spacing w:after="80" w:line="276"/>
      </w:pPr>
      <w:r>
        <w:t xml:space="preserve">compute daily log returns </w:t>
      </w:r>
      <w:r>
        <w:rPr>
          <w:i/>
          <w:iCs/>
        </w:rPr>
        <w:t xml:space="preserve">r(t) = ln S(t) − ln S(t−1)</w:t>
      </w:r>
      <w:r>
        <w:t xml:space="preserve"> and flag returns more than six robust (median absolute deviation) standard deviations from the median.</w:t>
      </w:r>
    </w:p>
    <w:p>
      <w:pPr>
        <w:spacing w:after="140" w:line="288"/>
        <w:jc w:val="both"/>
      </w:pPr>
      <w:r>
        <w:t xml:space="preserve">The file had no missing values, duplicates or non-positive prices. Three returns were flagged as anomalies: 2022-11-10 (8.5%), 2025-04-03 (-9.7%), 2025-04-09 (14.3%). These match real market events: the November 2022 rally after a soft US inflation report, and the April 2025 tariff announcement followed by the 90-day tariff pause. They were </w:t>
      </w:r>
      <w:r>
        <w:rPr>
          <w:b/>
          <w:bCs/>
        </w:rPr>
        <w:t xml:space="preserve">retained</w:t>
      </w:r>
      <w:r>
        <w:t xml:space="preserve">. Deleting genuine extreme moves would make the data look safer than it is and would remove exactly the information the jump-diffusion model is designed to capture.</w:t>
      </w:r>
    </w:p>
    <w:p>
      <w:pPr>
        <w:keepNext/>
        <w:spacing w:after="0" w:before="200"/>
      </w:pPr>
      <w:r>
        <w:rPr>
          <w:b/>
          <w:bCs/>
        </w:rPr>
        <w:t xml:space="preserve">Figure 1</w:t>
      </w:r>
    </w:p>
    <w:p>
      <w:pPr>
        <w:keepNext/>
        <w:spacing w:after="100"/>
      </w:pPr>
      <w:r>
        <w:rPr>
          <w:i/>
          <w:iCs/>
        </w:rPr>
        <w:t xml:space="preserve">AAPL Adjusted Closing Price and Daily Log Returns, July 2021 – July 2026</w:t>
      </w:r>
    </w:p>
    <w:p>
      <w:pPr>
        <w:keepNext/>
        <w:jc w:val="center"/>
      </w:pPr>
      <w:r>
        <w:drawing>
          <wp:inline distT="0" distB="0" distL="0" distR="0">
            <wp:extent cx="5852160" cy="3685663"/>
            <wp:effectExtent t="0" r="0" b="0" l="0"/>
            <wp:docPr id="1" name="fig1_price_history.png" descr="AAPL Adjusted Closing Price and Daily Log Returns, July 2021 – July 2026"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852160" cy="3685663"/>
                    </a:xfrm>
                    <a:prstGeom prst="rect">
                      <a:avLst/>
                    </a:prstGeom>
                  </pic:spPr>
                </pic:pic>
              </a:graphicData>
            </a:graphic>
          </wp:inline>
        </w:drawing>
      </w:r>
    </w:p>
    <w:p>
      <w:pPr>
        <w:spacing w:after="220" w:before="60"/>
      </w:pPr>
      <w:r>
        <w:rPr>
          <w:i/>
          <w:iCs/>
          <w:color w:val="595959"/>
          <w:sz w:val="19"/>
          <w:szCs w:val="19"/>
        </w:rPr>
        <w:t xml:space="preserve">Note. </w:t>
      </w:r>
      <w:r>
        <w:rPr>
          <w:color w:val="595959"/>
          <w:sz w:val="19"/>
          <w:szCs w:val="19"/>
        </w:rPr>
        <w:t xml:space="preserve">The shaded region is the two-year calibration window. Orange markers show daily moves larger than 7%. Volatility comes in bursts (for example April 2025) rather than at a constant rate.</w:t>
      </w:r>
    </w:p>
    <w:p>
      <w:pPr>
        <w:pStyle w:val="Heading2"/>
      </w:pPr>
      <w:r>
        <w:t xml:space="preserve">2.3 Exploratory statistics</w:t>
      </w:r>
    </w:p>
    <w:p>
      <w:pPr>
        <w:keepNext/>
        <w:spacing w:after="0" w:before="200"/>
      </w:pPr>
      <w:r>
        <w:rPr>
          <w:b/>
          <w:bCs/>
        </w:rPr>
        <w:t xml:space="preserve">Table 1</w:t>
      </w:r>
    </w:p>
    <w:p>
      <w:pPr>
        <w:keepNext/>
        <w:spacing w:after="100"/>
      </w:pPr>
      <w:r>
        <w:rPr>
          <w:i/>
          <w:iCs/>
        </w:rPr>
        <w:t xml:space="preserve">Descriptive Statistics of AAPL Daily Log Returns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4040"/>
        <w:gridCol w:w="2800"/>
        <w:gridCol w:w="2800"/>
      </w:tblGrid>
      <w:tr>
        <w:trPr>
          <w:tblHeader/>
        </w:trPr>
        <w:tc>
          <w:tcPr>
            <w:tcW w:type="dxa" w:w="4040"/>
            <w:tcBorders>
              <w:top w:val="single" w:color="BFBFBF" w:sz="4"/>
              <w:left w:val="none" w:color="FFFFFF" w:sz="0"/>
              <w:bottom w:val="single" w:color="BFBFBF" w:sz="4"/>
              <w:right w:val="none" w:color="FFFFFF" w:sz="0"/>
            </w:tcBorders>
            <w:shd w:fill="E8EEF5" w:color="auto" w:val="clear"/>
            <w:tcMar>
              <w:top w:type="dxa" w:w="50"/>
              <w:left w:type="dxa" w:w="90"/>
              <w:bottom w:type="dxa" w:w="50"/>
              <w:right w:type="dxa" w:w="90"/>
            </w:tcMar>
          </w:tcPr>
          <w:p>
            <w:pPr>
              <w:keepNext/>
              <w:jc w:val="left"/>
            </w:pPr>
            <w:r>
              <w:rPr>
                <w:b/>
                <w:bCs/>
                <w:sz w:val="19"/>
                <w:szCs w:val="19"/>
              </w:rPr>
              <w:t xml:space="preserve">Statistic</w:t>
            </w:r>
          </w:p>
        </w:tc>
        <w:tc>
          <w:tcPr>
            <w:tcW w:type="dxa" w:w="2800"/>
            <w:tcBorders>
              <w:top w:val="single" w:color="BFBFBF" w:sz="4"/>
              <w:left w:val="none" w:color="FFFFFF" w:sz="0"/>
              <w:bottom w:val="single" w:color="BFBFBF" w:sz="4"/>
              <w:right w:val="none" w:color="FFFFFF" w:sz="0"/>
            </w:tcBorders>
            <w:shd w:fill="E8EEF5" w:color="auto" w:val="clear"/>
            <w:tcMar>
              <w:top w:type="dxa" w:w="50"/>
              <w:left w:type="dxa" w:w="90"/>
              <w:bottom w:type="dxa" w:w="50"/>
              <w:right w:type="dxa" w:w="90"/>
            </w:tcMar>
          </w:tcPr>
          <w:p>
            <w:pPr>
              <w:keepNext/>
              <w:jc w:val="right"/>
            </w:pPr>
            <w:r>
              <w:rPr>
                <w:b/>
                <w:bCs/>
                <w:sz w:val="19"/>
                <w:szCs w:val="19"/>
              </w:rPr>
              <w:t xml:space="preserve">Calibration window (2 yr)</w:t>
            </w:r>
          </w:p>
        </w:tc>
        <w:tc>
          <w:tcPr>
            <w:tcW w:type="dxa" w:w="2800"/>
            <w:tcBorders>
              <w:top w:val="single" w:color="BFBFBF" w:sz="4"/>
              <w:left w:val="none" w:color="FFFFFF" w:sz="0"/>
              <w:bottom w:val="single" w:color="BFBFBF" w:sz="4"/>
              <w:right w:val="none" w:color="FFFFFF" w:sz="0"/>
            </w:tcBorders>
            <w:shd w:fill="E8EEF5" w:color="auto" w:val="clear"/>
            <w:tcMar>
              <w:top w:type="dxa" w:w="50"/>
              <w:left w:type="dxa" w:w="90"/>
              <w:bottom w:type="dxa" w:w="50"/>
              <w:right w:type="dxa" w:w="90"/>
            </w:tcMar>
          </w:tcPr>
          <w:p>
            <w:pPr>
              <w:keepNext/>
              <w:jc w:val="right"/>
            </w:pPr>
            <w:r>
              <w:rPr>
                <w:b/>
                <w:bCs/>
                <w:sz w:val="19"/>
                <w:szCs w:val="19"/>
              </w:rPr>
              <w:t xml:space="preserve">Full sample (5 yr)</w:t>
            </w:r>
          </w:p>
        </w:tc>
      </w:tr>
      <w:tr>
        <w:trPr>
          <w:cantSplit/>
        </w:trPr>
        <w:tc>
          <w:tcPr>
            <w:tcW w:type="dxa" w:w="4040"/>
            <w:tcBorders>
              <w:top w:val="none" w:color="FFFFFF" w:sz="0"/>
              <w:left w:val="none" w:color="FFFFFF" w:sz="0"/>
              <w:bottom w:val="single" w:color="BFBFBF" w:sz="4"/>
              <w:right w:val="none" w:color="FFFFFF" w:sz="0"/>
            </w:tcBorders>
            <w:tcMar>
              <w:top w:type="dxa" w:w="50"/>
              <w:left w:type="dxa" w:w="90"/>
              <w:bottom w:type="dxa" w:w="50"/>
              <w:right w:type="dxa" w:w="90"/>
            </w:tcMar>
          </w:tcPr>
          <w:p>
            <w:pPr>
              <w:keepNext/>
              <w:jc w:val="left"/>
            </w:pPr>
            <w:r>
              <w:rPr>
                <w:b w:val="false"/>
                <w:bCs w:val="false"/>
                <w:sz w:val="19"/>
                <w:szCs w:val="19"/>
              </w:rPr>
              <w:t xml:space="preserve">Observations</w:t>
            </w:r>
          </w:p>
        </w:tc>
        <w:tc>
          <w:tcPr>
            <w:tcW w:type="dxa" w:w="2800"/>
            <w:tcBorders>
              <w:top w:val="none" w:color="FFFFFF" w:sz="0"/>
              <w:left w:val="none" w:color="FFFFFF" w:sz="0"/>
              <w:bottom w:val="single" w:color="BFBFBF" w:sz="4"/>
              <w:right w:val="none" w:color="FFFFFF" w:sz="0"/>
            </w:tcBorders>
            <w:tcMar>
              <w:top w:type="dxa" w:w="50"/>
              <w:left w:type="dxa" w:w="90"/>
              <w:bottom w:type="dxa" w:w="50"/>
              <w:right w:type="dxa" w:w="90"/>
            </w:tcMar>
          </w:tcPr>
          <w:p>
            <w:pPr>
              <w:keepNext/>
              <w:jc w:val="right"/>
            </w:pPr>
            <w:r>
              <w:rPr>
                <w:b w:val="false"/>
                <w:bCs w:val="false"/>
                <w:sz w:val="19"/>
                <w:szCs w:val="19"/>
              </w:rPr>
              <w:t xml:space="preserve">504</w:t>
            </w:r>
          </w:p>
        </w:tc>
        <w:tc>
          <w:tcPr>
            <w:tcW w:type="dxa" w:w="2800"/>
            <w:tcBorders>
              <w:top w:val="none" w:color="FFFFFF" w:sz="0"/>
              <w:left w:val="none" w:color="FFFFFF" w:sz="0"/>
              <w:bottom w:val="single" w:color="BFBFBF" w:sz="4"/>
              <w:right w:val="none" w:color="FFFFFF" w:sz="0"/>
            </w:tcBorders>
            <w:tcMar>
              <w:top w:type="dxa" w:w="50"/>
              <w:left w:type="dxa" w:w="90"/>
              <w:bottom w:type="dxa" w:w="50"/>
              <w:right w:type="dxa" w:w="90"/>
            </w:tcMar>
          </w:tcPr>
          <w:p>
            <w:pPr>
              <w:keepNext/>
              <w:jc w:val="right"/>
            </w:pPr>
            <w:r>
              <w:rPr>
                <w:b w:val="false"/>
                <w:bCs w:val="false"/>
                <w:sz w:val="19"/>
                <w:szCs w:val="19"/>
              </w:rPr>
              <w:t xml:space="preserve">1254</w:t>
            </w:r>
          </w:p>
        </w:tc>
      </w:tr>
      <w:tr>
        <w:trPr>
          <w:cantSplit/>
        </w:trPr>
        <w:tc>
          <w:tcPr>
            <w:tcW w:type="dxa" w:w="4040"/>
            <w:tcBorders>
              <w:top w:val="none" w:color="FFFFFF" w:sz="0"/>
              <w:left w:val="none" w:color="FFFFFF" w:sz="0"/>
              <w:bottom w:val="single" w:color="BFBFBF" w:sz="4"/>
              <w:right w:val="none" w:color="FFFFFF" w:sz="0"/>
            </w:tcBorders>
            <w:shd w:fill="F7F7F7" w:color="auto" w:val="clear"/>
            <w:tcMar>
              <w:top w:type="dxa" w:w="50"/>
              <w:left w:type="dxa" w:w="90"/>
              <w:bottom w:type="dxa" w:w="50"/>
              <w:right w:type="dxa" w:w="90"/>
            </w:tcMar>
          </w:tcPr>
          <w:p>
            <w:pPr>
              <w:keepNext/>
              <w:jc w:val="left"/>
            </w:pPr>
            <w:r>
              <w:rPr>
                <w:b w:val="false"/>
                <w:bCs w:val="false"/>
                <w:sz w:val="19"/>
                <w:szCs w:val="19"/>
              </w:rPr>
              <w:t xml:space="preserve">Annualised mean log return</w:t>
            </w:r>
          </w:p>
        </w:tc>
        <w:tc>
          <w:tcPr>
            <w:tcW w:type="dxa" w:w="2800"/>
            <w:tcBorders>
              <w:top w:val="none" w:color="FFFFFF" w:sz="0"/>
              <w:left w:val="none" w:color="FFFFFF" w:sz="0"/>
              <w:bottom w:val="single" w:color="BFBFBF" w:sz="4"/>
              <w:right w:val="none" w:color="FFFFFF" w:sz="0"/>
            </w:tcBorders>
            <w:shd w:fill="F7F7F7" w:color="auto" w:val="clear"/>
            <w:tcMar>
              <w:top w:type="dxa" w:w="50"/>
              <w:left w:type="dxa" w:w="90"/>
              <w:bottom w:type="dxa" w:w="50"/>
              <w:right w:type="dxa" w:w="90"/>
            </w:tcMar>
          </w:tcPr>
          <w:p>
            <w:pPr>
              <w:keepNext/>
              <w:jc w:val="right"/>
            </w:pPr>
            <w:r>
              <w:rPr>
                <w:b w:val="false"/>
                <w:bCs w:val="false"/>
                <w:sz w:val="19"/>
                <w:szCs w:val="19"/>
              </w:rPr>
              <w:t xml:space="preserve">16.8%</w:t>
            </w:r>
          </w:p>
        </w:tc>
        <w:tc>
          <w:tcPr>
            <w:tcW w:type="dxa" w:w="2800"/>
            <w:tcBorders>
              <w:top w:val="none" w:color="FFFFFF" w:sz="0"/>
              <w:left w:val="none" w:color="FFFFFF" w:sz="0"/>
              <w:bottom w:val="single" w:color="BFBFBF" w:sz="4"/>
              <w:right w:val="none" w:color="FFFFFF" w:sz="0"/>
            </w:tcBorders>
            <w:shd w:fill="F7F7F7" w:color="auto" w:val="clear"/>
            <w:tcMar>
              <w:top w:type="dxa" w:w="50"/>
              <w:left w:type="dxa" w:w="90"/>
              <w:bottom w:type="dxa" w:w="50"/>
              <w:right w:type="dxa" w:w="90"/>
            </w:tcMar>
          </w:tcPr>
          <w:p>
            <w:pPr>
              <w:keepNext/>
              <w:jc w:val="right"/>
            </w:pPr>
            <w:r>
              <w:rPr>
                <w:b w:val="false"/>
                <w:bCs w:val="false"/>
                <w:sz w:val="19"/>
                <w:szCs w:val="19"/>
              </w:rPr>
              <w:t xml:space="preserve">16.1%</w:t>
            </w:r>
          </w:p>
        </w:tc>
      </w:tr>
      <w:tr>
        <w:trPr>
          <w:cantSplit/>
        </w:trPr>
        <w:tc>
          <w:tcPr>
            <w:tcW w:type="dxa" w:w="4040"/>
            <w:tcBorders>
              <w:top w:val="none" w:color="FFFFFF" w:sz="0"/>
              <w:left w:val="none" w:color="FFFFFF" w:sz="0"/>
              <w:bottom w:val="single" w:color="BFBFBF" w:sz="4"/>
              <w:right w:val="none" w:color="FFFFFF" w:sz="0"/>
            </w:tcBorders>
            <w:tcMar>
              <w:top w:type="dxa" w:w="50"/>
              <w:left w:type="dxa" w:w="90"/>
              <w:bottom w:type="dxa" w:w="50"/>
              <w:right w:type="dxa" w:w="90"/>
            </w:tcMar>
          </w:tcPr>
          <w:p>
            <w:pPr>
              <w:keepNext/>
              <w:jc w:val="left"/>
            </w:pPr>
            <w:r>
              <w:rPr>
                <w:b w:val="false"/>
                <w:bCs w:val="false"/>
                <w:sz w:val="19"/>
                <w:szCs w:val="19"/>
              </w:rPr>
              <w:t xml:space="preserve">Annualised volatility</w:t>
            </w:r>
          </w:p>
        </w:tc>
        <w:tc>
          <w:tcPr>
            <w:tcW w:type="dxa" w:w="2800"/>
            <w:tcBorders>
              <w:top w:val="none" w:color="FFFFFF" w:sz="0"/>
              <w:left w:val="none" w:color="FFFFFF" w:sz="0"/>
              <w:bottom w:val="single" w:color="BFBFBF" w:sz="4"/>
              <w:right w:val="none" w:color="FFFFFF" w:sz="0"/>
            </w:tcBorders>
            <w:tcMar>
              <w:top w:type="dxa" w:w="50"/>
              <w:left w:type="dxa" w:w="90"/>
              <w:bottom w:type="dxa" w:w="50"/>
              <w:right w:type="dxa" w:w="90"/>
            </w:tcMar>
          </w:tcPr>
          <w:p>
            <w:pPr>
              <w:keepNext/>
              <w:jc w:val="right"/>
            </w:pPr>
            <w:r>
              <w:rPr>
                <w:b w:val="false"/>
                <w:bCs w:val="false"/>
                <w:sz w:val="19"/>
                <w:szCs w:val="19"/>
              </w:rPr>
              <w:t xml:space="preserve">28.2%</w:t>
            </w:r>
          </w:p>
        </w:tc>
        <w:tc>
          <w:tcPr>
            <w:tcW w:type="dxa" w:w="2800"/>
            <w:tcBorders>
              <w:top w:val="none" w:color="FFFFFF" w:sz="0"/>
              <w:left w:val="none" w:color="FFFFFF" w:sz="0"/>
              <w:bottom w:val="single" w:color="BFBFBF" w:sz="4"/>
              <w:right w:val="none" w:color="FFFFFF" w:sz="0"/>
            </w:tcBorders>
            <w:tcMar>
              <w:top w:type="dxa" w:w="50"/>
              <w:left w:type="dxa" w:w="90"/>
              <w:bottom w:type="dxa" w:w="50"/>
              <w:right w:type="dxa" w:w="90"/>
            </w:tcMar>
          </w:tcPr>
          <w:p>
            <w:pPr>
              <w:keepNext/>
              <w:jc w:val="right"/>
            </w:pPr>
            <w:r>
              <w:rPr>
                <w:b w:val="false"/>
                <w:bCs w:val="false"/>
                <w:sz w:val="19"/>
                <w:szCs w:val="19"/>
              </w:rPr>
              <w:t xml:space="preserve">27.7%</w:t>
            </w:r>
          </w:p>
        </w:tc>
      </w:tr>
      <w:tr>
        <w:trPr>
          <w:cantSplit/>
        </w:trPr>
        <w:tc>
          <w:tcPr>
            <w:tcW w:type="dxa" w:w="4040"/>
            <w:tcBorders>
              <w:top w:val="none" w:color="FFFFFF" w:sz="0"/>
              <w:left w:val="none" w:color="FFFFFF" w:sz="0"/>
              <w:bottom w:val="single" w:color="BFBFBF" w:sz="4"/>
              <w:right w:val="none" w:color="FFFFFF" w:sz="0"/>
            </w:tcBorders>
            <w:shd w:fill="F7F7F7" w:color="auto" w:val="clear"/>
            <w:tcMar>
              <w:top w:type="dxa" w:w="50"/>
              <w:left w:type="dxa" w:w="90"/>
              <w:bottom w:type="dxa" w:w="50"/>
              <w:right w:type="dxa" w:w="90"/>
            </w:tcMar>
          </w:tcPr>
          <w:p>
            <w:pPr>
              <w:keepNext/>
              <w:jc w:val="left"/>
            </w:pPr>
            <w:r>
              <w:rPr>
                <w:b w:val="false"/>
                <w:bCs w:val="false"/>
                <w:sz w:val="19"/>
                <w:szCs w:val="19"/>
              </w:rPr>
              <w:t xml:space="preserve">Skewness</w:t>
            </w:r>
          </w:p>
        </w:tc>
        <w:tc>
          <w:tcPr>
            <w:tcW w:type="dxa" w:w="2800"/>
            <w:tcBorders>
              <w:top w:val="none" w:color="FFFFFF" w:sz="0"/>
              <w:left w:val="none" w:color="FFFFFF" w:sz="0"/>
              <w:bottom w:val="single" w:color="BFBFBF" w:sz="4"/>
              <w:right w:val="none" w:color="FFFFFF" w:sz="0"/>
            </w:tcBorders>
            <w:shd w:fill="F7F7F7" w:color="auto" w:val="clear"/>
            <w:tcMar>
              <w:top w:type="dxa" w:w="50"/>
              <w:left w:type="dxa" w:w="90"/>
              <w:bottom w:type="dxa" w:w="50"/>
              <w:right w:type="dxa" w:w="90"/>
            </w:tcMar>
          </w:tcPr>
          <w:p>
            <w:pPr>
              <w:keepNext/>
              <w:jc w:val="right"/>
            </w:pPr>
            <w:r>
              <w:rPr>
                <w:b w:val="false"/>
                <w:bCs w:val="false"/>
                <w:sz w:val="19"/>
                <w:szCs w:val="19"/>
              </w:rPr>
              <w:t xml:space="preserve">0.35</w:t>
            </w:r>
          </w:p>
        </w:tc>
        <w:tc>
          <w:tcPr>
            <w:tcW w:type="dxa" w:w="2800"/>
            <w:tcBorders>
              <w:top w:val="none" w:color="FFFFFF" w:sz="0"/>
              <w:left w:val="none" w:color="FFFFFF" w:sz="0"/>
              <w:bottom w:val="single" w:color="BFBFBF" w:sz="4"/>
              <w:right w:val="none" w:color="FFFFFF" w:sz="0"/>
            </w:tcBorders>
            <w:shd w:fill="F7F7F7" w:color="auto" w:val="clear"/>
            <w:tcMar>
              <w:top w:type="dxa" w:w="50"/>
              <w:left w:type="dxa" w:w="90"/>
              <w:bottom w:type="dxa" w:w="50"/>
              <w:right w:type="dxa" w:w="90"/>
            </w:tcMar>
          </w:tcPr>
          <w:p>
            <w:pPr>
              <w:keepNext/>
              <w:jc w:val="right"/>
            </w:pPr>
            <w:r>
              <w:rPr>
                <w:b w:val="false"/>
                <w:bCs w:val="false"/>
                <w:sz w:val="19"/>
                <w:szCs w:val="19"/>
              </w:rPr>
              <w:t xml:space="preserve">0.22</w:t>
            </w:r>
          </w:p>
        </w:tc>
      </w:tr>
      <w:tr>
        <w:trPr>
          <w:cantSplit/>
        </w:trPr>
        <w:tc>
          <w:tcPr>
            <w:tcW w:type="dxa" w:w="4040"/>
            <w:tcBorders>
              <w:top w:val="none" w:color="FFFFFF" w:sz="0"/>
              <w:left w:val="none" w:color="FFFFFF" w:sz="0"/>
              <w:bottom w:val="single" w:color="BFBFBF" w:sz="4"/>
              <w:right w:val="none" w:color="FFFFFF" w:sz="0"/>
            </w:tcBorders>
            <w:tcMar>
              <w:top w:type="dxa" w:w="50"/>
              <w:left w:type="dxa" w:w="90"/>
              <w:bottom w:type="dxa" w:w="50"/>
              <w:right w:type="dxa" w:w="90"/>
            </w:tcMar>
          </w:tcPr>
          <w:p>
            <w:pPr>
              <w:keepNext/>
              <w:jc w:val="left"/>
            </w:pPr>
            <w:r>
              <w:rPr>
                <w:b w:val="false"/>
                <w:bCs w:val="false"/>
                <w:sz w:val="19"/>
                <w:szCs w:val="19"/>
              </w:rPr>
              <w:t xml:space="preserve">Excess kurtosis</w:t>
            </w:r>
          </w:p>
        </w:tc>
        <w:tc>
          <w:tcPr>
            <w:tcW w:type="dxa" w:w="2800"/>
            <w:tcBorders>
              <w:top w:val="none" w:color="FFFFFF" w:sz="0"/>
              <w:left w:val="none" w:color="FFFFFF" w:sz="0"/>
              <w:bottom w:val="single" w:color="BFBFBF" w:sz="4"/>
              <w:right w:val="none" w:color="FFFFFF" w:sz="0"/>
            </w:tcBorders>
            <w:tcMar>
              <w:top w:type="dxa" w:w="50"/>
              <w:left w:type="dxa" w:w="90"/>
              <w:bottom w:type="dxa" w:w="50"/>
              <w:right w:type="dxa" w:w="90"/>
            </w:tcMar>
          </w:tcPr>
          <w:p>
            <w:pPr>
              <w:keepNext/>
              <w:jc w:val="right"/>
            </w:pPr>
            <w:r>
              <w:rPr>
                <w:b w:val="false"/>
                <w:bCs w:val="false"/>
                <w:sz w:val="19"/>
                <w:szCs w:val="19"/>
              </w:rPr>
              <w:t xml:space="preserve">10.56</w:t>
            </w:r>
          </w:p>
        </w:tc>
        <w:tc>
          <w:tcPr>
            <w:tcW w:type="dxa" w:w="2800"/>
            <w:tcBorders>
              <w:top w:val="none" w:color="FFFFFF" w:sz="0"/>
              <w:left w:val="none" w:color="FFFFFF" w:sz="0"/>
              <w:bottom w:val="single" w:color="BFBFBF" w:sz="4"/>
              <w:right w:val="none" w:color="FFFFFF" w:sz="0"/>
            </w:tcBorders>
            <w:tcMar>
              <w:top w:type="dxa" w:w="50"/>
              <w:left w:type="dxa" w:w="90"/>
              <w:bottom w:type="dxa" w:w="50"/>
              <w:right w:type="dxa" w:w="90"/>
            </w:tcMar>
          </w:tcPr>
          <w:p>
            <w:pPr>
              <w:keepNext/>
              <w:jc w:val="right"/>
            </w:pPr>
            <w:r>
              <w:rPr>
                <w:b w:val="false"/>
                <w:bCs w:val="false"/>
                <w:sz w:val="19"/>
                <w:szCs w:val="19"/>
              </w:rPr>
              <w:t xml:space="preserve">5.73</w:t>
            </w:r>
          </w:p>
        </w:tc>
      </w:tr>
      <w:tr>
        <w:trPr>
          <w:cantSplit/>
        </w:trPr>
        <w:tc>
          <w:tcPr>
            <w:tcW w:type="dxa" w:w="4040"/>
            <w:tcBorders>
              <w:top w:val="none" w:color="FFFFFF" w:sz="0"/>
              <w:left w:val="none" w:color="FFFFFF" w:sz="0"/>
              <w:bottom w:val="single" w:color="BFBFBF" w:sz="4"/>
              <w:right w:val="none" w:color="FFFFFF" w:sz="0"/>
            </w:tcBorders>
            <w:shd w:fill="F7F7F7" w:color="auto" w:val="clear"/>
            <w:tcMar>
              <w:top w:type="dxa" w:w="50"/>
              <w:left w:type="dxa" w:w="90"/>
              <w:bottom w:type="dxa" w:w="50"/>
              <w:right w:type="dxa" w:w="90"/>
            </w:tcMar>
          </w:tcPr>
          <w:p>
            <w:pPr>
              <w:keepNext/>
              <w:jc w:val="left"/>
            </w:pPr>
            <w:r>
              <w:rPr>
                <w:b w:val="false"/>
                <w:bCs w:val="false"/>
                <w:sz w:val="19"/>
                <w:szCs w:val="19"/>
              </w:rPr>
              <w:t xml:space="preserve">Worst / best day</w:t>
            </w:r>
          </w:p>
        </w:tc>
        <w:tc>
          <w:tcPr>
            <w:tcW w:type="dxa" w:w="2800"/>
            <w:tcBorders>
              <w:top w:val="none" w:color="FFFFFF" w:sz="0"/>
              <w:left w:val="none" w:color="FFFFFF" w:sz="0"/>
              <w:bottom w:val="single" w:color="BFBFBF" w:sz="4"/>
              <w:right w:val="none" w:color="FFFFFF" w:sz="0"/>
            </w:tcBorders>
            <w:shd w:fill="F7F7F7" w:color="auto" w:val="clear"/>
            <w:tcMar>
              <w:top w:type="dxa" w:w="50"/>
              <w:left w:type="dxa" w:w="90"/>
              <w:bottom w:type="dxa" w:w="50"/>
              <w:right w:type="dxa" w:w="90"/>
            </w:tcMar>
          </w:tcPr>
          <w:p>
            <w:pPr>
              <w:keepNext/>
              <w:jc w:val="right"/>
            </w:pPr>
            <w:r>
              <w:rPr>
                <w:b w:val="false"/>
                <w:bCs w:val="false"/>
                <w:sz w:val="19"/>
                <w:szCs w:val="19"/>
              </w:rPr>
              <w:t xml:space="preserve">-9.7% / 14.3%</w:t>
            </w:r>
          </w:p>
        </w:tc>
        <w:tc>
          <w:tcPr>
            <w:tcW w:type="dxa" w:w="2800"/>
            <w:tcBorders>
              <w:top w:val="none" w:color="FFFFFF" w:sz="0"/>
              <w:left w:val="none" w:color="FFFFFF" w:sz="0"/>
              <w:bottom w:val="single" w:color="BFBFBF" w:sz="4"/>
              <w:right w:val="none" w:color="FFFFFF" w:sz="0"/>
            </w:tcBorders>
            <w:shd w:fill="F7F7F7" w:color="auto" w:val="clear"/>
            <w:tcMar>
              <w:top w:type="dxa" w:w="50"/>
              <w:left w:type="dxa" w:w="90"/>
              <w:bottom w:type="dxa" w:w="50"/>
              <w:right w:type="dxa" w:w="90"/>
            </w:tcMar>
          </w:tcPr>
          <w:p>
            <w:pPr>
              <w:keepNext/>
              <w:jc w:val="right"/>
            </w:pPr>
            <w:r>
              <w:rPr>
                <w:b w:val="false"/>
                <w:bCs w:val="false"/>
                <w:sz w:val="19"/>
                <w:szCs w:val="19"/>
              </w:rPr>
              <w:t xml:space="preserve">-9.7% / 14.3%</w:t>
            </w:r>
          </w:p>
        </w:tc>
      </w:tr>
      <w:tr>
        <w:trPr>
          <w:cantSplit/>
        </w:trPr>
        <w:tc>
          <w:tcPr>
            <w:tcW w:type="dxa" w:w="4040"/>
            <w:tcBorders>
              <w:top w:val="none" w:color="FFFFFF" w:sz="0"/>
              <w:left w:val="none" w:color="FFFFFF" w:sz="0"/>
              <w:bottom w:val="single" w:color="BFBFBF" w:sz="4"/>
              <w:right w:val="none" w:color="FFFFFF" w:sz="0"/>
            </w:tcBorders>
            <w:tcMar>
              <w:top w:type="dxa" w:w="50"/>
              <w:left w:type="dxa" w:w="90"/>
              <w:bottom w:type="dxa" w:w="50"/>
              <w:right w:type="dxa" w:w="90"/>
            </w:tcMar>
          </w:tcPr>
          <w:p>
            <w:pPr>
              <w:keepNext/>
              <w:jc w:val="left"/>
            </w:pPr>
            <w:r>
              <w:rPr>
                <w:b w:val="false"/>
                <w:bCs w:val="false"/>
                <w:sz w:val="19"/>
                <w:szCs w:val="19"/>
              </w:rPr>
              <w:t xml:space="preserve">Jarque–Bera p-value (normality)</w:t>
            </w:r>
          </w:p>
        </w:tc>
        <w:tc>
          <w:tcPr>
            <w:tcW w:type="dxa" w:w="2800"/>
            <w:tcBorders>
              <w:top w:val="none" w:color="FFFFFF" w:sz="0"/>
              <w:left w:val="none" w:color="FFFFFF" w:sz="0"/>
              <w:bottom w:val="single" w:color="BFBFBF" w:sz="4"/>
              <w:right w:val="none" w:color="FFFFFF" w:sz="0"/>
            </w:tcBorders>
            <w:tcMar>
              <w:top w:type="dxa" w:w="50"/>
              <w:left w:type="dxa" w:w="90"/>
              <w:bottom w:type="dxa" w:w="50"/>
              <w:right w:type="dxa" w:w="90"/>
            </w:tcMar>
          </w:tcPr>
          <w:p>
            <w:pPr>
              <w:keepNext/>
              <w:jc w:val="right"/>
            </w:pPr>
            <w:r>
              <w:rPr>
                <w:b w:val="false"/>
                <w:bCs w:val="false"/>
                <w:sz w:val="19"/>
                <w:szCs w:val="19"/>
              </w:rPr>
              <w:t xml:space="preserve">&lt; 0.0001</w:t>
            </w:r>
          </w:p>
        </w:tc>
        <w:tc>
          <w:tcPr>
            <w:tcW w:type="dxa" w:w="2800"/>
            <w:tcBorders>
              <w:top w:val="none" w:color="FFFFFF" w:sz="0"/>
              <w:left w:val="none" w:color="FFFFFF" w:sz="0"/>
              <w:bottom w:val="single" w:color="BFBFBF" w:sz="4"/>
              <w:right w:val="none" w:color="FFFFFF" w:sz="0"/>
            </w:tcBorders>
            <w:tcMar>
              <w:top w:type="dxa" w:w="50"/>
              <w:left w:type="dxa" w:w="90"/>
              <w:bottom w:type="dxa" w:w="50"/>
              <w:right w:type="dxa" w:w="90"/>
            </w:tcMar>
          </w:tcPr>
          <w:p>
            <w:pPr>
              <w:keepNext/>
              <w:jc w:val="right"/>
            </w:pPr>
            <w:r>
              <w:rPr>
                <w:b w:val="false"/>
                <w:bCs w:val="false"/>
                <w:sz w:val="19"/>
                <w:szCs w:val="19"/>
              </w:rPr>
              <w:t xml:space="preserve">&lt; 0.0001</w:t>
            </w:r>
          </w:p>
        </w:tc>
      </w:tr>
      <w:tr>
        <w:trPr>
          <w:cantSplit/>
        </w:trPr>
        <w:tc>
          <w:tcPr>
            <w:tcW w:type="dxa" w:w="4040"/>
            <w:tcBorders>
              <w:top w:val="none" w:color="FFFFFF" w:sz="0"/>
              <w:left w:val="none" w:color="FFFFFF" w:sz="0"/>
              <w:bottom w:val="single" w:color="BFBFBF" w:sz="4"/>
              <w:right w:val="none" w:color="FFFFFF" w:sz="0"/>
            </w:tcBorders>
            <w:shd w:fill="F7F7F7" w:color="auto" w:val="clear"/>
            <w:tcMar>
              <w:top w:type="dxa" w:w="50"/>
              <w:left w:type="dxa" w:w="90"/>
              <w:bottom w:type="dxa" w:w="50"/>
              <w:right w:type="dxa" w:w="90"/>
            </w:tcMar>
          </w:tcPr>
          <w:p>
            <w:pPr>
              <w:keepNext/>
              <w:jc w:val="left"/>
            </w:pPr>
            <w:r>
              <w:rPr>
                <w:b w:val="false"/>
                <w:bCs w:val="false"/>
                <w:sz w:val="19"/>
                <w:szCs w:val="19"/>
              </w:rPr>
              <w:t xml:space="preserve">Ljung–Box p, returns (10 lags)</w:t>
            </w:r>
          </w:p>
        </w:tc>
        <w:tc>
          <w:tcPr>
            <w:tcW w:type="dxa" w:w="2800"/>
            <w:tcBorders>
              <w:top w:val="none" w:color="FFFFFF" w:sz="0"/>
              <w:left w:val="none" w:color="FFFFFF" w:sz="0"/>
              <w:bottom w:val="single" w:color="BFBFBF" w:sz="4"/>
              <w:right w:val="none" w:color="FFFFFF" w:sz="0"/>
            </w:tcBorders>
            <w:shd w:fill="F7F7F7" w:color="auto" w:val="clear"/>
            <w:tcMar>
              <w:top w:type="dxa" w:w="50"/>
              <w:left w:type="dxa" w:w="90"/>
              <w:bottom w:type="dxa" w:w="50"/>
              <w:right w:type="dxa" w:w="90"/>
            </w:tcMar>
          </w:tcPr>
          <w:p>
            <w:pPr>
              <w:keepNext/>
              <w:jc w:val="right"/>
            </w:pPr>
            <w:r>
              <w:rPr>
                <w:b w:val="false"/>
                <w:bCs w:val="false"/>
                <w:sz w:val="19"/>
                <w:szCs w:val="19"/>
              </w:rPr>
              <w:t xml:space="preserve">0.090</w:t>
            </w:r>
          </w:p>
        </w:tc>
        <w:tc>
          <w:tcPr>
            <w:tcW w:type="dxa" w:w="2800"/>
            <w:tcBorders>
              <w:top w:val="none" w:color="FFFFFF" w:sz="0"/>
              <w:left w:val="none" w:color="FFFFFF" w:sz="0"/>
              <w:bottom w:val="single" w:color="BFBFBF" w:sz="4"/>
              <w:right w:val="none" w:color="FFFFFF" w:sz="0"/>
            </w:tcBorders>
            <w:shd w:fill="F7F7F7" w:color="auto" w:val="clear"/>
            <w:tcMar>
              <w:top w:type="dxa" w:w="50"/>
              <w:left w:type="dxa" w:w="90"/>
              <w:bottom w:type="dxa" w:w="50"/>
              <w:right w:type="dxa" w:w="90"/>
            </w:tcMar>
          </w:tcPr>
          <w:p>
            <w:pPr>
              <w:keepNext/>
              <w:jc w:val="right"/>
            </w:pPr>
            <w:r>
              <w:rPr>
                <w:b w:val="false"/>
                <w:bCs w:val="false"/>
                <w:sz w:val="19"/>
                <w:szCs w:val="19"/>
              </w:rPr>
              <w:t xml:space="preserve">0.443</w:t>
            </w:r>
          </w:p>
        </w:tc>
      </w:tr>
      <w:tr>
        <w:trPr>
          <w:cantSplit/>
        </w:trPr>
        <w:tc>
          <w:tcPr>
            <w:tcW w:type="dxa" w:w="4040"/>
            <w:tcBorders>
              <w:top w:val="none" w:color="FFFFFF" w:sz="0"/>
              <w:left w:val="none" w:color="FFFFFF" w:sz="0"/>
              <w:bottom w:val="single" w:color="BFBFBF" w:sz="4"/>
              <w:right w:val="none" w:color="FFFFFF" w:sz="0"/>
            </w:tcBorders>
            <w:tcMar>
              <w:top w:type="dxa" w:w="50"/>
              <w:left w:type="dxa" w:w="90"/>
              <w:bottom w:type="dxa" w:w="50"/>
              <w:right w:type="dxa" w:w="90"/>
            </w:tcMar>
          </w:tcPr>
          <w:p>
            <w:pPr>
              <w:keepNext w:val="false"/>
              <w:jc w:val="left"/>
            </w:pPr>
            <w:r>
              <w:rPr>
                <w:b w:val="false"/>
                <w:bCs w:val="false"/>
                <w:sz w:val="19"/>
                <w:szCs w:val="19"/>
              </w:rPr>
              <w:t xml:space="preserve">Ljung–Box p, squared returns (10 lags)</w:t>
            </w:r>
          </w:p>
        </w:tc>
        <w:tc>
          <w:tcPr>
            <w:tcW w:type="dxa" w:w="2800"/>
            <w:tcBorders>
              <w:top w:val="none" w:color="FFFFFF" w:sz="0"/>
              <w:left w:val="none" w:color="FFFFFF" w:sz="0"/>
              <w:bottom w:val="single" w:color="BFBFBF" w:sz="4"/>
              <w:right w:val="none" w:color="FFFFFF" w:sz="0"/>
            </w:tcBorders>
            <w:tcMar>
              <w:top w:type="dxa" w:w="50"/>
              <w:left w:type="dxa" w:w="90"/>
              <w:bottom w:type="dxa" w:w="50"/>
              <w:right w:type="dxa" w:w="90"/>
            </w:tcMar>
          </w:tcPr>
          <w:p>
            <w:pPr>
              <w:keepNext w:val="false"/>
              <w:jc w:val="right"/>
            </w:pPr>
            <w:r>
              <w:rPr>
                <w:b w:val="false"/>
                <w:bCs w:val="false"/>
                <w:sz w:val="19"/>
                <w:szCs w:val="19"/>
              </w:rPr>
              <w:t xml:space="preserve">&lt; 0.0001</w:t>
            </w:r>
          </w:p>
        </w:tc>
        <w:tc>
          <w:tcPr>
            <w:tcW w:type="dxa" w:w="2800"/>
            <w:tcBorders>
              <w:top w:val="none" w:color="FFFFFF" w:sz="0"/>
              <w:left w:val="none" w:color="FFFFFF" w:sz="0"/>
              <w:bottom w:val="single" w:color="BFBFBF" w:sz="4"/>
              <w:right w:val="none" w:color="FFFFFF" w:sz="0"/>
            </w:tcBorders>
            <w:tcMar>
              <w:top w:type="dxa" w:w="50"/>
              <w:left w:type="dxa" w:w="90"/>
              <w:bottom w:type="dxa" w:w="50"/>
              <w:right w:type="dxa" w:w="90"/>
            </w:tcMar>
          </w:tcPr>
          <w:p>
            <w:pPr>
              <w:keepNext w:val="false"/>
              <w:jc w:val="right"/>
            </w:pPr>
            <w:r>
              <w:rPr>
                <w:b w:val="false"/>
                <w:bCs w:val="false"/>
                <w:sz w:val="19"/>
                <w:szCs w:val="19"/>
              </w:rPr>
              <w:t xml:space="preserve">&lt; 0.0001</w:t>
            </w:r>
          </w:p>
        </w:tc>
      </w:tr>
    </w:tbl>
    <w:p>
      <w:pPr>
        <w:spacing w:after="220" w:before="60"/>
      </w:pPr>
      <w:r>
        <w:rPr>
          <w:i/>
          <w:iCs/>
          <w:color w:val="595959"/>
          <w:sz w:val="19"/>
          <w:szCs w:val="19"/>
        </w:rPr>
        <w:t xml:space="preserve">Note. </w:t>
      </w:r>
      <w:r>
        <w:rPr>
          <w:color w:val="595959"/>
          <w:sz w:val="19"/>
          <w:szCs w:val="19"/>
        </w:rPr>
        <w:t xml:space="preserve">Annualisation uses 252 trading days. Ljung–Box tests the null hypothesis of no autocorrelation.</w:t>
      </w:r>
    </w:p>
    <w:p>
      <w:pPr>
        <w:spacing w:after="140" w:line="288"/>
        <w:jc w:val="both"/>
      </w:pPr>
      <w:r>
        <w:t xml:space="preserve">Three stylised facts of equity returns (Cont, 2001) are visible. First, </w:t>
      </w:r>
      <w:r>
        <w:rPr>
          <w:b/>
          <w:bCs/>
        </w:rPr>
        <w:t xml:space="preserve">fat tails</w:t>
      </w:r>
      <w:r>
        <w:t xml:space="preserve">: excess kurtosis is 10.6, normality is rejected decisively, and the Q–Q plot in Figure 2 bends away from the normal line at both ends. Second, </w:t>
      </w:r>
      <w:r>
        <w:rPr>
          <w:b/>
          <w:bCs/>
        </w:rPr>
        <w:t xml:space="preserve">little linear predictability</w:t>
      </w:r>
      <w:r>
        <w:t xml:space="preserve">: returns show no significant autocorrelation at the 5% level. Third, </w:t>
      </w:r>
      <w:r>
        <w:rPr>
          <w:b/>
          <w:bCs/>
        </w:rPr>
        <w:t xml:space="preserve">volatility clustering</w:t>
      </w:r>
      <w:r>
        <w:t xml:space="preserve">: squared returns are strongly autocorrelated. Augmented Dickey–Fuller tests (Dickey &amp; Fuller, 1979) on the log price do not reject a unit root, with a constant (p = 0.81) or with a constant and trend (p = 0.51). This is consistent with a random walk and gives no statistical support for mean reversion.</w:t>
      </w:r>
    </w:p>
    <w:p>
      <w:pPr>
        <w:keepNext/>
        <w:spacing w:after="0" w:before="200"/>
      </w:pPr>
      <w:r>
        <w:rPr>
          <w:b/>
          <w:bCs/>
        </w:rPr>
        <w:t xml:space="preserve">Figure 2</w:t>
      </w:r>
    </w:p>
    <w:p>
      <w:pPr>
        <w:keepNext/>
        <w:spacing w:after="100"/>
      </w:pPr>
      <w:r>
        <w:rPr>
          <w:i/>
          <w:iCs/>
        </w:rPr>
        <w:t xml:space="preserve">Distribution of Daily Log Returns Compared With Fitted Model Densities</w:t>
      </w:r>
    </w:p>
    <w:p>
      <w:pPr>
        <w:keepNext/>
        <w:jc w:val="center"/>
      </w:pPr>
      <w:r>
        <w:drawing>
          <wp:inline distT="0" distB="0" distL="0" distR="0">
            <wp:extent cx="5852160" cy="2709592"/>
            <wp:effectExtent t="0" r="0" b="0" l="0"/>
            <wp:docPr id="1" name="fig2_return_distribution.png" descr="Distribution of Daily Log Returns Compared With Fitted Model Densities"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52160" cy="2709592"/>
                    </a:xfrm>
                    <a:prstGeom prst="rect">
                      <a:avLst/>
                    </a:prstGeom>
                  </pic:spPr>
                </pic:pic>
              </a:graphicData>
            </a:graphic>
          </wp:inline>
        </w:drawing>
      </w:r>
    </w:p>
    <w:p>
      <w:pPr>
        <w:spacing w:after="220" w:before="60"/>
      </w:pPr>
      <w:r>
        <w:rPr>
          <w:i/>
          <w:iCs/>
          <w:color w:val="595959"/>
          <w:sz w:val="19"/>
          <w:szCs w:val="19"/>
        </w:rPr>
        <w:t xml:space="preserve">Note. </w:t>
      </w:r>
      <w:r>
        <w:rPr>
          <w:color w:val="595959"/>
          <w:sz w:val="19"/>
          <w:szCs w:val="19"/>
        </w:rPr>
        <w:t xml:space="preserve">Left: histogram of the 504 calibration-window returns with the GBM (normal) and Merton jump-diffusion densities. Merton captures the sharper peak and heavier tails. Right: normal Q–Q plot; points beyond the line at both ends indicate fat tails.</w:t>
      </w:r>
    </w:p>
    <w:p>
      <w:pPr>
        <w:pStyle w:val="Heading1"/>
      </w:pPr>
      <w:r>
        <w:t xml:space="preserve">3. Model Selection and Implementation</w:t>
      </w:r>
    </w:p>
    <w:p>
      <w:pPr>
        <w:pStyle w:val="Heading2"/>
      </w:pPr>
      <w:r>
        <w:t xml:space="preserve">3.1 Choice of models</w:t>
      </w:r>
    </w:p>
    <w:p>
      <w:pPr>
        <w:spacing w:after="140" w:line="288"/>
        <w:jc w:val="both"/>
      </w:pPr>
      <w:r>
        <w:t xml:space="preserve">Three models were selected. Each represents a different hypothesis about how the stock moves, and together they span the main modelling families:</w:t>
      </w:r>
    </w:p>
    <w:p>
      <w:pPr>
        <w:pStyle w:val="ListParagraph"/>
        <w:numPr>
          <w:ilvl w:val="0"/>
          <w:numId w:val="2"/>
        </w:numPr>
        <w:spacing w:after="80" w:line="276"/>
      </w:pPr>
      <w:r>
        <w:rPr>
          <w:b/>
          <w:bCs/>
        </w:rPr>
        <w:t xml:space="preserve">Geometric Brownian Motion (GBM)</w:t>
      </w:r>
      <w:r>
        <w:t xml:space="preserve"> is the benchmark. It assumes prices follow a random walk in logs, with constant drift and volatility. The unit-root test results and the absence of return autocorrelation support it as a first approximation, and it underlies the Black–Scholes model.</w:t>
      </w:r>
    </w:p>
    <w:p>
      <w:pPr>
        <w:pStyle w:val="ListParagraph"/>
        <w:numPr>
          <w:ilvl w:val="0"/>
          <w:numId w:val="2"/>
        </w:numPr>
        <w:spacing w:after="80" w:line="276"/>
      </w:pPr>
      <w:r>
        <w:rPr>
          <w:b/>
          <w:bCs/>
        </w:rPr>
        <w:t xml:space="preserve">Ornstein–Uhlenbeck (OU) mean reversion</w:t>
      </w:r>
      <w:r>
        <w:t xml:space="preserve"> tests the opposite hypothesis: that prices are pulled back toward a fundamental level (Uhlenbeck &amp; Ornstein, 1930; Vasicek, 1977). A flat long-run level makes little sense for a growing company, so the log price is modelled as reverting to a linear trend (a trend-stationary OU process). Mean reversion over horizons of months is documented for some stock portfolios (Poterba &amp; Summers, 1988), which makes it a meaningful alternative to test.</w:t>
      </w:r>
    </w:p>
    <w:p>
      <w:pPr>
        <w:pStyle w:val="ListParagraph"/>
        <w:numPr>
          <w:ilvl w:val="0"/>
          <w:numId w:val="2"/>
        </w:numPr>
        <w:spacing w:after="80" w:line="276"/>
      </w:pPr>
      <w:r>
        <w:rPr>
          <w:b/>
          <w:bCs/>
        </w:rPr>
        <w:t xml:space="preserve">Merton jump-diffusion</w:t>
      </w:r>
      <w:r>
        <w:t xml:space="preserve"> extends GBM with randomly occurring jumps (Merton, 1976). It addresses GBM's most obvious failure on this dataset, the fat tails created by earnings releases and macro shocks such as April 2025.</w:t>
      </w:r>
    </w:p>
    <w:p>
      <w:pPr>
        <w:pStyle w:val="Heading2"/>
      </w:pPr>
      <w:r>
        <w:t xml:space="preserve">3.2 Model specifications</w:t>
      </w:r>
    </w:p>
    <w:p>
      <w:pPr>
        <w:spacing w:after="140" w:line="288"/>
        <w:jc w:val="both"/>
      </w:pPr>
      <w:r>
        <w:t xml:space="preserve">Time </w:t>
      </w:r>
      <w:r>
        <w:rPr>
          <w:i/>
          <w:iCs/>
        </w:rPr>
        <w:t xml:space="preserve">t</w:t>
      </w:r>
      <w:r>
        <w:t xml:space="preserve"> is in years and one trading day is Δt = 1/252. </w:t>
      </w:r>
      <w:r>
        <w:rPr>
          <w:i/>
          <w:iCs/>
        </w:rPr>
        <w:t xml:space="preserve">W(t)</w:t>
      </w:r>
      <w:r>
        <w:t xml:space="preserve"> is a standard Brownian motion.</w:t>
      </w:r>
    </w:p>
    <w:p>
      <w:pPr>
        <w:spacing w:after="140" w:line="288"/>
        <w:jc w:val="both"/>
      </w:pPr>
      <w:r>
        <w:rPr>
          <w:b/>
          <w:bCs/>
        </w:rPr>
        <w:t xml:space="preserve">Geometric Brownian Motion.</w:t>
      </w:r>
      <w:r>
        <w:t xml:space="preserve"> The SDE and its exact solution are</w:t>
      </w:r>
    </w:p>
    <w:p>
      <w:pPr>
        <w:spacing w:after="120" w:before="60"/>
        <w:jc w:val="center"/>
      </w:pPr>
      <w:r>
        <w:rPr>
          <w:rFonts w:ascii="Cambria Math" w:cs="Cambria Math" w:eastAsia="Cambria Math" w:hAnsi="Cambria Math"/>
          <w:sz w:val="23"/>
          <w:szCs w:val="23"/>
        </w:rPr>
        <w:t xml:space="preserve">dS(t) = μ S(t) dt + σ S(t) dW(t),      S(t+Δt) = S(t) · exp[(μ − σ²/2)Δt + σ√Δt · Z],  Z ~ N(0,1)</w:t>
      </w:r>
    </w:p>
    <w:p>
      <w:pPr>
        <w:spacing w:after="140" w:line="288"/>
        <w:jc w:val="both"/>
      </w:pPr>
      <w:r>
        <w:t xml:space="preserve">Log returns are therefore i.i.d. normal, and the maximum-likelihood estimates are σ̂ = sd(r)/√Δt and μ̂ = mean(r)/Δt + σ̂²/2.</w:t>
      </w:r>
    </w:p>
    <w:p>
      <w:pPr>
        <w:spacing w:after="140" w:line="288"/>
        <w:jc w:val="both"/>
      </w:pPr>
      <w:r>
        <w:rPr>
          <w:b/>
          <w:bCs/>
        </w:rPr>
        <w:t xml:space="preserve">Trend-stationary Ornstein–Uhlenbeck.</w:t>
      </w:r>
      <w:r>
        <w:t xml:space="preserve"> The log price is the sum of a linear trend and an OU deviation </w:t>
      </w:r>
      <w:r>
        <w:rPr>
          <w:i/>
          <w:iCs/>
        </w:rPr>
        <w:t xml:space="preserve">Y(t)</w:t>
      </w:r>
      <w:r>
        <w:t xml:space="preserve">:</w:t>
      </w:r>
    </w:p>
    <w:p>
      <w:pPr>
        <w:spacing w:after="120" w:before="60"/>
        <w:jc w:val="center"/>
      </w:pPr>
      <w:r>
        <w:rPr>
          <w:rFonts w:ascii="Cambria Math" w:cs="Cambria Math" w:eastAsia="Cambria Math" w:hAnsi="Cambria Math"/>
          <w:sz w:val="23"/>
          <w:szCs w:val="23"/>
        </w:rPr>
        <w:t xml:space="preserve">ln S(t) = a + g·t + Y(t),      dY(t) = −θ Y(t) dt + σ dW(t)</w:t>
      </w:r>
    </w:p>
    <w:p>
      <w:pPr>
        <w:spacing w:after="140" w:line="288"/>
        <w:jc w:val="both"/>
      </w:pPr>
      <w:r>
        <w:t xml:space="preserve">θ is the speed of reversion; the half-life of a deviation is ln 2 / θ. The exact discrete form is an AR(1) process, Y(t+Δt) = b·Y(t) + ε with b = e^(−θΔt) and Var(ε) = σ²(1 − b²)/(2θ). Estimation is therefore an OLS trend fit followed by an AR(1) regression on the residuals. Setting g = 0 gives the classic OU process with a constant long-run level.</w:t>
      </w:r>
    </w:p>
    <w:p>
      <w:pPr>
        <w:spacing w:after="140" w:line="288"/>
        <w:jc w:val="both"/>
      </w:pPr>
      <w:r>
        <w:rPr>
          <w:b/>
          <w:bCs/>
        </w:rPr>
        <w:t xml:space="preserve">Merton jump-diffusion.</w:t>
      </w:r>
      <w:r>
        <w:t xml:space="preserve"> The price follows GBM plus a compound Poisson jump component:</w:t>
      </w:r>
    </w:p>
    <w:p>
      <w:pPr>
        <w:spacing w:after="120" w:before="60"/>
        <w:jc w:val="center"/>
      </w:pPr>
      <w:r>
        <w:rPr>
          <w:rFonts w:ascii="Cambria Math" w:cs="Cambria Math" w:eastAsia="Cambria Math" w:hAnsi="Cambria Math"/>
          <w:sz w:val="23"/>
          <w:szCs w:val="23"/>
        </w:rPr>
        <w:t xml:space="preserve">dS(t)/S(t−) = (μ − λk) dt + σ dW(t) + (J − 1) dN(t),      ln J ~ N(μ_J, σ_J²),  k = e^(μ_J + σ_J²/2) − 1</w:t>
      </w:r>
    </w:p>
    <w:p>
      <w:pPr>
        <w:spacing w:after="140" w:line="288"/>
        <w:jc w:val="both"/>
      </w:pPr>
      <w:r>
        <w:rPr>
          <w:i/>
          <w:iCs/>
        </w:rPr>
        <w:t xml:space="preserve">N(t)</w:t>
      </w:r>
      <w:r>
        <w:t xml:space="preserve"> is a Poisson process with λ jumps per year; the λk term keeps the total expected return equal to μ. The daily log-return density is a Poisson-weighted mixture of normals. Its five parameters were estimated by maximum likelihood (L-BFGS-B, several starting points), with starting values from a threshold rule that labels returns beyond three robust standard deviations as jumps (Mancini, 2009).</w:t>
      </w:r>
    </w:p>
    <w:p>
      <w:pPr>
        <w:spacing w:after="140" w:line="288"/>
        <w:jc w:val="both"/>
      </w:pPr>
      <w:r>
        <w:rPr>
          <w:b/>
          <w:bCs/>
        </w:rPr>
        <w:t xml:space="preserve">Identification issue.</w:t>
      </w:r>
      <w:r>
        <w:t xml:space="preserve"> Without a constraint, the Merton likelihood keeps increasing as λ grows (to 100 jumps per year and beyond). The model then uses many small jumps to imitate volatility clustering rather than describing rare discontinuities. The intensity was therefore capped at λ = 12 per year (about one large move per month, in line with quarterly earnings plus macro events). The cap is binding, which signals that a stochastic-volatility model would describe this data better (Section 6).</w:t>
      </w:r>
    </w:p>
    <w:p>
      <w:pPr>
        <w:pStyle w:val="Heading2"/>
      </w:pPr>
      <w:r>
        <w:t xml:space="preserve">3.3 Python implementation</w:t>
      </w:r>
    </w:p>
    <w:p>
      <w:pPr>
        <w:spacing w:after="140" w:line="288"/>
        <w:jc w:val="both"/>
      </w:pPr>
      <w:r>
        <w:t xml:space="preserve">The code is modular. Each step is a separate, documented function in </w:t>
      </w:r>
      <w:r>
        <w:rPr>
          <w:i/>
          <w:iCs/>
        </w:rPr>
        <w:t xml:space="preserve">stock_models.py</w:t>
      </w:r>
      <w:r>
        <w:t xml:space="preserve">:</w:t>
      </w:r>
    </w:p>
    <w:p>
      <w:pPr>
        <w:pStyle w:val="ListParagraph"/>
        <w:numPr>
          <w:ilvl w:val="0"/>
          <w:numId w:val="2"/>
        </w:numPr>
        <w:spacing w:after="80" w:line="276"/>
      </w:pPr>
      <w:r>
        <w:rPr>
          <w:b/>
          <w:bCs/>
        </w:rPr>
        <w:t xml:space="preserve">Data</w:t>
      </w:r>
      <w:r>
        <w:t xml:space="preserve">: </w:t>
      </w:r>
      <w:r>
        <w:rPr>
          <w:i/>
          <w:iCs/>
        </w:rPr>
        <w:t xml:space="preserve">load_yfinance_csv()</w:t>
      </w:r>
      <w:r>
        <w:t xml:space="preserve">, </w:t>
      </w:r>
      <w:r>
        <w:rPr>
          <w:i/>
          <w:iCs/>
        </w:rPr>
        <w:t xml:space="preserve">download_yfinance()</w:t>
      </w:r>
      <w:r>
        <w:t xml:space="preserve">, </w:t>
      </w:r>
      <w:r>
        <w:rPr>
          <w:i/>
          <w:iCs/>
        </w:rPr>
        <w:t xml:space="preserve">clean_prices()</w:t>
      </w:r>
      <w:r>
        <w:t xml:space="preserve">, </w:t>
      </w:r>
      <w:r>
        <w:rPr>
          <w:i/>
          <w:iCs/>
        </w:rPr>
        <w:t xml:space="preserve">describe_returns()</w:t>
      </w:r>
      <w:r>
        <w:t xml:space="preserve">, </w:t>
      </w:r>
      <w:r>
        <w:rPr>
          <w:i/>
          <w:iCs/>
        </w:rPr>
        <w:t xml:space="preserve">stationarity_tests()</w:t>
      </w:r>
      <w:r>
        <w:t xml:space="preserve">.</w:t>
      </w:r>
    </w:p>
    <w:p>
      <w:pPr>
        <w:pStyle w:val="ListParagraph"/>
        <w:numPr>
          <w:ilvl w:val="0"/>
          <w:numId w:val="2"/>
        </w:numPr>
        <w:spacing w:after="80" w:line="276"/>
      </w:pPr>
      <w:r>
        <w:rPr>
          <w:b/>
          <w:bCs/>
        </w:rPr>
        <w:t xml:space="preserve">Calibration</w:t>
      </w:r>
      <w:r>
        <w:t xml:space="preserve">: </w:t>
      </w:r>
      <w:r>
        <w:rPr>
          <w:i/>
          <w:iCs/>
        </w:rPr>
        <w:t xml:space="preserve">fit_gbm()</w:t>
      </w:r>
      <w:r>
        <w:t xml:space="preserve">, </w:t>
      </w:r>
      <w:r>
        <w:rPr>
          <w:i/>
          <w:iCs/>
        </w:rPr>
        <w:t xml:space="preserve">fit_ou()</w:t>
      </w:r>
      <w:r>
        <w:t xml:space="preserve">, </w:t>
      </w:r>
      <w:r>
        <w:rPr>
          <w:i/>
          <w:iCs/>
        </w:rPr>
        <w:t xml:space="preserve">fit_merton()</w:t>
      </w:r>
      <w:r>
        <w:t xml:space="preserve"> return typed parameter objects (dataclasses); </w:t>
      </w:r>
      <w:r>
        <w:rPr>
          <w:i/>
          <w:iCs/>
        </w:rPr>
        <w:t xml:space="preserve">model_loglik()</w:t>
      </w:r>
      <w:r>
        <w:t xml:space="preserve"> computes log-likelihood, AIC and BIC.</w:t>
      </w:r>
    </w:p>
    <w:p>
      <w:pPr>
        <w:pStyle w:val="ListParagraph"/>
        <w:numPr>
          <w:ilvl w:val="0"/>
          <w:numId w:val="2"/>
        </w:numPr>
        <w:spacing w:after="80" w:line="276"/>
      </w:pPr>
      <w:r>
        <w:rPr>
          <w:b/>
          <w:bCs/>
        </w:rPr>
        <w:t xml:space="preserve">Simulation</w:t>
      </w:r>
      <w:r>
        <w:t xml:space="preserve">: </w:t>
      </w:r>
      <w:r>
        <w:rPr>
          <w:i/>
          <w:iCs/>
        </w:rPr>
        <w:t xml:space="preserve">simulate_gbm()</w:t>
      </w:r>
      <w:r>
        <w:t xml:space="preserve">, </w:t>
      </w:r>
      <w:r>
        <w:rPr>
          <w:i/>
          <w:iCs/>
        </w:rPr>
        <w:t xml:space="preserve">simulate_ou()</w:t>
      </w:r>
      <w:r>
        <w:t xml:space="preserve"> and </w:t>
      </w:r>
      <w:r>
        <w:rPr>
          <w:i/>
          <w:iCs/>
        </w:rPr>
        <w:t xml:space="preserve">simulate_merton()</w:t>
      </w:r>
      <w:r>
        <w:t xml:space="preserve"> are vectorised with NumPy and return an array of shape (paths × days). All three use exact transition laws, so there is no Euler discretisation bias. Merton jumps are sampled exactly: the daily jump count is Poisson(λΔt), and the sum of n jumps is N(nμ_J, nσ_J²).</w:t>
      </w:r>
    </w:p>
    <w:p>
      <w:pPr>
        <w:pStyle w:val="ListParagraph"/>
        <w:numPr>
          <w:ilvl w:val="0"/>
          <w:numId w:val="2"/>
        </w:numPr>
        <w:spacing w:after="80" w:line="276"/>
      </w:pPr>
      <w:r>
        <w:rPr>
          <w:b/>
          <w:bCs/>
        </w:rPr>
        <w:t xml:space="preserve">Risk and evaluation</w:t>
      </w:r>
      <w:r>
        <w:t xml:space="preserve">: </w:t>
      </w:r>
      <w:r>
        <w:rPr>
          <w:i/>
          <w:iCs/>
        </w:rPr>
        <w:t xml:space="preserve">terminal_stats()</w:t>
      </w:r>
      <w:r>
        <w:t xml:space="preserve"> (mean, median, quantiles, probability of loss, VaR, CVaR, drawdown), </w:t>
      </w:r>
      <w:r>
        <w:rPr>
          <w:i/>
          <w:iCs/>
        </w:rPr>
        <w:t xml:space="preserve">rolling_backtest()</w:t>
      </w:r>
      <w:r>
        <w:t xml:space="preserve"> and </w:t>
      </w:r>
      <w:r>
        <w:rPr>
          <w:i/>
          <w:iCs/>
        </w:rPr>
        <w:t xml:space="preserve">kupiec_pof()</w:t>
      </w:r>
      <w:r>
        <w:t xml:space="preserve">.</w:t>
      </w:r>
    </w:p>
    <w:p>
      <w:pPr>
        <w:pStyle w:val="ListParagraph"/>
        <w:numPr>
          <w:ilvl w:val="0"/>
          <w:numId w:val="2"/>
        </w:numPr>
        <w:spacing w:after="80" w:line="276"/>
      </w:pPr>
      <w:r>
        <w:rPr>
          <w:b/>
          <w:bCs/>
        </w:rPr>
        <w:t xml:space="preserve">Visualisation</w:t>
      </w:r>
      <w:r>
        <w:t xml:space="preserve">: </w:t>
      </w:r>
      <w:r>
        <w:rPr>
          <w:i/>
          <w:iCs/>
        </w:rPr>
        <w:t xml:space="preserve">plots.py</w:t>
      </w:r>
      <w:r>
        <w:t xml:space="preserve"> produces every figure, with one fixed colour per model (GBM blue, OU orange, Merton green).</w:t>
      </w:r>
    </w:p>
    <w:p>
      <w:pPr>
        <w:spacing w:after="140" w:line="288"/>
        <w:jc w:val="both"/>
      </w:pPr>
      <w:r>
        <w:t xml:space="preserve">Each model was simulated with </w:t>
      </w:r>
      <w:r>
        <w:rPr>
          <w:b/>
          <w:bCs/>
        </w:rPr>
        <w:t xml:space="preserve">10,000 Monte Carlo paths</w:t>
      </w:r>
      <w:r>
        <w:t xml:space="preserve"> over 180 trading days; the 30- and 60-day results are read off the same paths. This is ten times the required 1,000 runs and keeps the Monte Carlo error of the 5% quantile below about half a percentage point. Each model uses its own seeded random generator, so results are reproducible and the models do not share random draws.</w:t>
      </w:r>
    </w:p>
    <w:p>
      <w:pPr>
        <w:pStyle w:val="Heading2"/>
      </w:pPr>
      <w:r>
        <w:t xml:space="preserve">3.4 Calibrated parameters</w:t>
      </w:r>
    </w:p>
    <w:p>
      <w:pPr>
        <w:keepNext/>
        <w:spacing w:after="0" w:before="200"/>
      </w:pPr>
      <w:r>
        <w:rPr>
          <w:b/>
          <w:bCs/>
        </w:rPr>
        <w:t xml:space="preserve">Table 2</w:t>
      </w:r>
    </w:p>
    <w:p>
      <w:pPr>
        <w:keepNext/>
        <w:spacing w:after="100"/>
      </w:pPr>
      <w:r>
        <w:rPr>
          <w:i/>
          <w:iCs/>
        </w:rPr>
        <w:t xml:space="preserve">Calibrated Model Parameters (Calibration Window 8 Jul 2024 – 13 Jul 2026)</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900"/>
        <w:gridCol w:w="2350"/>
        <w:gridCol w:w="1700"/>
        <w:gridCol w:w="3690"/>
      </w:tblGrid>
      <w:tr>
        <w:trPr>
          <w:tblHeader/>
        </w:trPr>
        <w:tc>
          <w:tcPr>
            <w:tcW w:type="dxa" w:w="1900"/>
            <w:tcBorders>
              <w:top w:val="single" w:color="BFBFBF" w:sz="4"/>
              <w:left w:val="none" w:color="FFFFFF" w:sz="0"/>
              <w:bottom w:val="single" w:color="BFBFBF" w:sz="4"/>
              <w:right w:val="none" w:color="FFFFFF" w:sz="0"/>
            </w:tcBorders>
            <w:shd w:fill="E8EEF5" w:color="auto" w:val="clear"/>
            <w:tcMar>
              <w:top w:type="dxa" w:w="50"/>
              <w:left w:type="dxa" w:w="90"/>
              <w:bottom w:type="dxa" w:w="50"/>
              <w:right w:type="dxa" w:w="90"/>
            </w:tcMar>
          </w:tcPr>
          <w:p>
            <w:pPr>
              <w:keepNext/>
              <w:jc w:val="left"/>
            </w:pPr>
            <w:r>
              <w:rPr>
                <w:b/>
                <w:bCs/>
                <w:sz w:val="19"/>
                <w:szCs w:val="19"/>
              </w:rPr>
              <w:t xml:space="preserve">Model</w:t>
            </w:r>
          </w:p>
        </w:tc>
        <w:tc>
          <w:tcPr>
            <w:tcW w:type="dxa" w:w="2350"/>
            <w:tcBorders>
              <w:top w:val="single" w:color="BFBFBF" w:sz="4"/>
              <w:left w:val="none" w:color="FFFFFF" w:sz="0"/>
              <w:bottom w:val="single" w:color="BFBFBF" w:sz="4"/>
              <w:right w:val="none" w:color="FFFFFF" w:sz="0"/>
            </w:tcBorders>
            <w:shd w:fill="E8EEF5" w:color="auto" w:val="clear"/>
            <w:tcMar>
              <w:top w:type="dxa" w:w="50"/>
              <w:left w:type="dxa" w:w="90"/>
              <w:bottom w:type="dxa" w:w="50"/>
              <w:right w:type="dxa" w:w="90"/>
            </w:tcMar>
          </w:tcPr>
          <w:p>
            <w:pPr>
              <w:keepNext/>
              <w:jc w:val="right"/>
            </w:pPr>
            <w:r>
              <w:rPr>
                <w:b/>
                <w:bCs/>
                <w:sz w:val="19"/>
                <w:szCs w:val="19"/>
              </w:rPr>
              <w:t xml:space="preserve">Parameter</w:t>
            </w:r>
          </w:p>
        </w:tc>
        <w:tc>
          <w:tcPr>
            <w:tcW w:type="dxa" w:w="1700"/>
            <w:tcBorders>
              <w:top w:val="single" w:color="BFBFBF" w:sz="4"/>
              <w:left w:val="none" w:color="FFFFFF" w:sz="0"/>
              <w:bottom w:val="single" w:color="BFBFBF" w:sz="4"/>
              <w:right w:val="none" w:color="FFFFFF" w:sz="0"/>
            </w:tcBorders>
            <w:shd w:fill="E8EEF5" w:color="auto" w:val="clear"/>
            <w:tcMar>
              <w:top w:type="dxa" w:w="50"/>
              <w:left w:type="dxa" w:w="90"/>
              <w:bottom w:type="dxa" w:w="50"/>
              <w:right w:type="dxa" w:w="90"/>
            </w:tcMar>
          </w:tcPr>
          <w:p>
            <w:pPr>
              <w:keepNext/>
              <w:jc w:val="right"/>
            </w:pPr>
            <w:r>
              <w:rPr>
                <w:b/>
                <w:bCs/>
                <w:sz w:val="19"/>
                <w:szCs w:val="19"/>
              </w:rPr>
              <w:t xml:space="preserve">Estimate</w:t>
            </w:r>
          </w:p>
        </w:tc>
        <w:tc>
          <w:tcPr>
            <w:tcW w:type="dxa" w:w="3690"/>
            <w:tcBorders>
              <w:top w:val="single" w:color="BFBFBF" w:sz="4"/>
              <w:left w:val="none" w:color="FFFFFF" w:sz="0"/>
              <w:bottom w:val="single" w:color="BFBFBF" w:sz="4"/>
              <w:right w:val="none" w:color="FFFFFF" w:sz="0"/>
            </w:tcBorders>
            <w:shd w:fill="E8EEF5" w:color="auto" w:val="clear"/>
            <w:tcMar>
              <w:top w:type="dxa" w:w="50"/>
              <w:left w:type="dxa" w:w="90"/>
              <w:bottom w:type="dxa" w:w="50"/>
              <w:right w:type="dxa" w:w="90"/>
            </w:tcMar>
          </w:tcPr>
          <w:p>
            <w:pPr>
              <w:keepNext/>
              <w:jc w:val="right"/>
            </w:pPr>
            <w:r>
              <w:rPr>
                <w:b/>
                <w:bCs/>
                <w:sz w:val="19"/>
                <w:szCs w:val="19"/>
              </w:rPr>
              <w:t xml:space="preserve">Interpretation</w:t>
            </w:r>
          </w:p>
        </w:tc>
      </w:tr>
      <w:tr>
        <w:trPr>
          <w:cantSplit/>
        </w:trPr>
        <w:tc>
          <w:tcPr>
            <w:tcW w:type="dxa" w:w="1900"/>
            <w:tcBorders>
              <w:top w:val="none" w:color="FFFFFF" w:sz="0"/>
              <w:left w:val="none" w:color="FFFFFF" w:sz="0"/>
              <w:bottom w:val="single" w:color="BFBFBF" w:sz="4"/>
              <w:right w:val="none" w:color="FFFFFF" w:sz="0"/>
            </w:tcBorders>
            <w:tcMar>
              <w:top w:type="dxa" w:w="50"/>
              <w:left w:type="dxa" w:w="90"/>
              <w:bottom w:type="dxa" w:w="50"/>
              <w:right w:type="dxa" w:w="90"/>
            </w:tcMar>
          </w:tcPr>
          <w:p>
            <w:pPr>
              <w:keepNext/>
              <w:jc w:val="left"/>
            </w:pPr>
            <w:r>
              <w:rPr>
                <w:b w:val="false"/>
                <w:bCs w:val="false"/>
                <w:sz w:val="19"/>
                <w:szCs w:val="19"/>
              </w:rPr>
              <w:t xml:space="preserve">GBM</w:t>
            </w:r>
          </w:p>
        </w:tc>
        <w:tc>
          <w:tcPr>
            <w:tcW w:type="dxa" w:w="2350"/>
            <w:tcBorders>
              <w:top w:val="none" w:color="FFFFFF" w:sz="0"/>
              <w:left w:val="none" w:color="FFFFFF" w:sz="0"/>
              <w:bottom w:val="single" w:color="BFBFBF" w:sz="4"/>
              <w:right w:val="none" w:color="FFFFFF" w:sz="0"/>
            </w:tcBorders>
            <w:tcMar>
              <w:top w:type="dxa" w:w="50"/>
              <w:left w:type="dxa" w:w="90"/>
              <w:bottom w:type="dxa" w:w="50"/>
              <w:right w:type="dxa" w:w="90"/>
            </w:tcMar>
          </w:tcPr>
          <w:p>
            <w:pPr>
              <w:keepNext/>
              <w:jc w:val="right"/>
            </w:pPr>
            <w:r>
              <w:rPr>
                <w:b w:val="false"/>
                <w:bCs w:val="false"/>
                <w:sz w:val="19"/>
                <w:szCs w:val="19"/>
              </w:rPr>
              <w:t xml:space="preserve">μ (drift)</w:t>
            </w:r>
          </w:p>
        </w:tc>
        <w:tc>
          <w:tcPr>
            <w:tcW w:type="dxa" w:w="1700"/>
            <w:tcBorders>
              <w:top w:val="none" w:color="FFFFFF" w:sz="0"/>
              <w:left w:val="none" w:color="FFFFFF" w:sz="0"/>
              <w:bottom w:val="single" w:color="BFBFBF" w:sz="4"/>
              <w:right w:val="none" w:color="FFFFFF" w:sz="0"/>
            </w:tcBorders>
            <w:tcMar>
              <w:top w:type="dxa" w:w="50"/>
              <w:left w:type="dxa" w:w="90"/>
              <w:bottom w:type="dxa" w:w="50"/>
              <w:right w:type="dxa" w:w="90"/>
            </w:tcMar>
          </w:tcPr>
          <w:p>
            <w:pPr>
              <w:keepNext/>
              <w:jc w:val="right"/>
            </w:pPr>
            <w:r>
              <w:rPr>
                <w:b w:val="false"/>
                <w:bCs w:val="false"/>
                <w:sz w:val="19"/>
                <w:szCs w:val="19"/>
              </w:rPr>
              <w:t xml:space="preserve">20.8%</w:t>
            </w:r>
          </w:p>
        </w:tc>
        <w:tc>
          <w:tcPr>
            <w:tcW w:type="dxa" w:w="3690"/>
            <w:tcBorders>
              <w:top w:val="none" w:color="FFFFFF" w:sz="0"/>
              <w:left w:val="none" w:color="FFFFFF" w:sz="0"/>
              <w:bottom w:val="single" w:color="BFBFBF" w:sz="4"/>
              <w:right w:val="none" w:color="FFFFFF" w:sz="0"/>
            </w:tcBorders>
            <w:tcMar>
              <w:top w:type="dxa" w:w="50"/>
              <w:left w:type="dxa" w:w="90"/>
              <w:bottom w:type="dxa" w:w="50"/>
              <w:right w:type="dxa" w:w="90"/>
            </w:tcMar>
          </w:tcPr>
          <w:p>
            <w:pPr>
              <w:keepNext/>
              <w:jc w:val="right"/>
            </w:pPr>
            <w:r>
              <w:rPr>
                <w:b w:val="false"/>
                <w:bCs w:val="false"/>
                <w:sz w:val="19"/>
                <w:szCs w:val="19"/>
              </w:rPr>
              <w:t xml:space="preserve">Expected annual price return</w:t>
            </w:r>
          </w:p>
        </w:tc>
      </w:tr>
      <w:tr>
        <w:trPr>
          <w:cantSplit/>
        </w:trPr>
        <w:tc>
          <w:tcPr>
            <w:tcW w:type="dxa" w:w="1900"/>
            <w:tcBorders>
              <w:top w:val="none" w:color="FFFFFF" w:sz="0"/>
              <w:left w:val="none" w:color="FFFFFF" w:sz="0"/>
              <w:bottom w:val="single" w:color="BFBFBF" w:sz="4"/>
              <w:right w:val="none" w:color="FFFFFF" w:sz="0"/>
            </w:tcBorders>
            <w:shd w:fill="F7F7F7" w:color="auto" w:val="clear"/>
            <w:tcMar>
              <w:top w:type="dxa" w:w="50"/>
              <w:left w:type="dxa" w:w="90"/>
              <w:bottom w:type="dxa" w:w="50"/>
              <w:right w:type="dxa" w:w="90"/>
            </w:tcMar>
          </w:tcPr>
          <w:p>
            <w:pPr>
              <w:keepNext/>
              <w:jc w:val="left"/>
            </w:pPr>
            <w:r>
              <w:rPr>
                <w:b w:val="false"/>
                <w:bCs w:val="false"/>
                <w:sz w:val="19"/>
                <w:szCs w:val="19"/>
              </w:rPr>
              <w:t xml:space="preserve"/>
            </w:r>
          </w:p>
        </w:tc>
        <w:tc>
          <w:tcPr>
            <w:tcW w:type="dxa" w:w="2350"/>
            <w:tcBorders>
              <w:top w:val="none" w:color="FFFFFF" w:sz="0"/>
              <w:left w:val="none" w:color="FFFFFF" w:sz="0"/>
              <w:bottom w:val="single" w:color="BFBFBF" w:sz="4"/>
              <w:right w:val="none" w:color="FFFFFF" w:sz="0"/>
            </w:tcBorders>
            <w:shd w:fill="F7F7F7" w:color="auto" w:val="clear"/>
            <w:tcMar>
              <w:top w:type="dxa" w:w="50"/>
              <w:left w:type="dxa" w:w="90"/>
              <w:bottom w:type="dxa" w:w="50"/>
              <w:right w:type="dxa" w:w="90"/>
            </w:tcMar>
          </w:tcPr>
          <w:p>
            <w:pPr>
              <w:keepNext/>
              <w:jc w:val="right"/>
            </w:pPr>
            <w:r>
              <w:rPr>
                <w:b w:val="false"/>
                <w:bCs w:val="false"/>
                <w:sz w:val="19"/>
                <w:szCs w:val="19"/>
              </w:rPr>
              <w:t xml:space="preserve">σ (volatility)</w:t>
            </w:r>
          </w:p>
        </w:tc>
        <w:tc>
          <w:tcPr>
            <w:tcW w:type="dxa" w:w="1700"/>
            <w:tcBorders>
              <w:top w:val="none" w:color="FFFFFF" w:sz="0"/>
              <w:left w:val="none" w:color="FFFFFF" w:sz="0"/>
              <w:bottom w:val="single" w:color="BFBFBF" w:sz="4"/>
              <w:right w:val="none" w:color="FFFFFF" w:sz="0"/>
            </w:tcBorders>
            <w:shd w:fill="F7F7F7" w:color="auto" w:val="clear"/>
            <w:tcMar>
              <w:top w:type="dxa" w:w="50"/>
              <w:left w:type="dxa" w:w="90"/>
              <w:bottom w:type="dxa" w:w="50"/>
              <w:right w:type="dxa" w:w="90"/>
            </w:tcMar>
          </w:tcPr>
          <w:p>
            <w:pPr>
              <w:keepNext/>
              <w:jc w:val="right"/>
            </w:pPr>
            <w:r>
              <w:rPr>
                <w:b w:val="false"/>
                <w:bCs w:val="false"/>
                <w:sz w:val="19"/>
                <w:szCs w:val="19"/>
              </w:rPr>
              <w:t xml:space="preserve">28.2%</w:t>
            </w:r>
          </w:p>
        </w:tc>
        <w:tc>
          <w:tcPr>
            <w:tcW w:type="dxa" w:w="3690"/>
            <w:tcBorders>
              <w:top w:val="none" w:color="FFFFFF" w:sz="0"/>
              <w:left w:val="none" w:color="FFFFFF" w:sz="0"/>
              <w:bottom w:val="single" w:color="BFBFBF" w:sz="4"/>
              <w:right w:val="none" w:color="FFFFFF" w:sz="0"/>
            </w:tcBorders>
            <w:shd w:fill="F7F7F7" w:color="auto" w:val="clear"/>
            <w:tcMar>
              <w:top w:type="dxa" w:w="50"/>
              <w:left w:type="dxa" w:w="90"/>
              <w:bottom w:type="dxa" w:w="50"/>
              <w:right w:type="dxa" w:w="90"/>
            </w:tcMar>
          </w:tcPr>
          <w:p>
            <w:pPr>
              <w:keepNext/>
              <w:jc w:val="right"/>
            </w:pPr>
            <w:r>
              <w:rPr>
                <w:b w:val="false"/>
                <w:bCs w:val="false"/>
                <w:sz w:val="19"/>
                <w:szCs w:val="19"/>
              </w:rPr>
              <w:t xml:space="preserve">Annualised volatility</w:t>
            </w:r>
          </w:p>
        </w:tc>
      </w:tr>
      <w:tr>
        <w:trPr>
          <w:cantSplit/>
        </w:trPr>
        <w:tc>
          <w:tcPr>
            <w:tcW w:type="dxa" w:w="1900"/>
            <w:tcBorders>
              <w:top w:val="none" w:color="FFFFFF" w:sz="0"/>
              <w:left w:val="none" w:color="FFFFFF" w:sz="0"/>
              <w:bottom w:val="single" w:color="BFBFBF" w:sz="4"/>
              <w:right w:val="none" w:color="FFFFFF" w:sz="0"/>
            </w:tcBorders>
            <w:tcMar>
              <w:top w:type="dxa" w:w="50"/>
              <w:left w:type="dxa" w:w="90"/>
              <w:bottom w:type="dxa" w:w="50"/>
              <w:right w:type="dxa" w:w="90"/>
            </w:tcMar>
          </w:tcPr>
          <w:p>
            <w:pPr>
              <w:keepNext/>
              <w:jc w:val="left"/>
            </w:pPr>
            <w:r>
              <w:rPr>
                <w:b w:val="false"/>
                <w:bCs w:val="false"/>
                <w:sz w:val="19"/>
                <w:szCs w:val="19"/>
              </w:rPr>
              <w:t xml:space="preserve">OU (trend)</w:t>
            </w:r>
          </w:p>
        </w:tc>
        <w:tc>
          <w:tcPr>
            <w:tcW w:type="dxa" w:w="2350"/>
            <w:tcBorders>
              <w:top w:val="none" w:color="FFFFFF" w:sz="0"/>
              <w:left w:val="none" w:color="FFFFFF" w:sz="0"/>
              <w:bottom w:val="single" w:color="BFBFBF" w:sz="4"/>
              <w:right w:val="none" w:color="FFFFFF" w:sz="0"/>
            </w:tcBorders>
            <w:tcMar>
              <w:top w:type="dxa" w:w="50"/>
              <w:left w:type="dxa" w:w="90"/>
              <w:bottom w:type="dxa" w:w="50"/>
              <w:right w:type="dxa" w:w="90"/>
            </w:tcMar>
          </w:tcPr>
          <w:p>
            <w:pPr>
              <w:keepNext/>
              <w:jc w:val="right"/>
            </w:pPr>
            <w:r>
              <w:rPr>
                <w:b w:val="false"/>
                <w:bCs w:val="false"/>
                <w:sz w:val="19"/>
                <w:szCs w:val="19"/>
              </w:rPr>
              <w:t xml:space="preserve">g (trend growth)</w:t>
            </w:r>
          </w:p>
        </w:tc>
        <w:tc>
          <w:tcPr>
            <w:tcW w:type="dxa" w:w="1700"/>
            <w:tcBorders>
              <w:top w:val="none" w:color="FFFFFF" w:sz="0"/>
              <w:left w:val="none" w:color="FFFFFF" w:sz="0"/>
              <w:bottom w:val="single" w:color="BFBFBF" w:sz="4"/>
              <w:right w:val="none" w:color="FFFFFF" w:sz="0"/>
            </w:tcBorders>
            <w:tcMar>
              <w:top w:type="dxa" w:w="50"/>
              <w:left w:type="dxa" w:w="90"/>
              <w:bottom w:type="dxa" w:w="50"/>
              <w:right w:type="dxa" w:w="90"/>
            </w:tcMar>
          </w:tcPr>
          <w:p>
            <w:pPr>
              <w:keepNext/>
              <w:jc w:val="right"/>
            </w:pPr>
            <w:r>
              <w:rPr>
                <w:b w:val="false"/>
                <w:bCs w:val="false"/>
                <w:sz w:val="19"/>
                <w:szCs w:val="19"/>
              </w:rPr>
              <w:t xml:space="preserve">14.6%</w:t>
            </w:r>
          </w:p>
        </w:tc>
        <w:tc>
          <w:tcPr>
            <w:tcW w:type="dxa" w:w="3690"/>
            <w:tcBorders>
              <w:top w:val="none" w:color="FFFFFF" w:sz="0"/>
              <w:left w:val="none" w:color="FFFFFF" w:sz="0"/>
              <w:bottom w:val="single" w:color="BFBFBF" w:sz="4"/>
              <w:right w:val="none" w:color="FFFFFF" w:sz="0"/>
            </w:tcBorders>
            <w:tcMar>
              <w:top w:type="dxa" w:w="50"/>
              <w:left w:type="dxa" w:w="90"/>
              <w:bottom w:type="dxa" w:w="50"/>
              <w:right w:type="dxa" w:w="90"/>
            </w:tcMar>
          </w:tcPr>
          <w:p>
            <w:pPr>
              <w:keepNext/>
              <w:jc w:val="right"/>
            </w:pPr>
            <w:r>
              <w:rPr>
                <w:b w:val="false"/>
                <w:bCs w:val="false"/>
                <w:sz w:val="19"/>
                <w:szCs w:val="19"/>
              </w:rPr>
              <w:t xml:space="preserve">Annual growth of trend line</w:t>
            </w:r>
          </w:p>
        </w:tc>
      </w:tr>
      <w:tr>
        <w:trPr>
          <w:cantSplit/>
        </w:trPr>
        <w:tc>
          <w:tcPr>
            <w:tcW w:type="dxa" w:w="1900"/>
            <w:tcBorders>
              <w:top w:val="none" w:color="FFFFFF" w:sz="0"/>
              <w:left w:val="none" w:color="FFFFFF" w:sz="0"/>
              <w:bottom w:val="single" w:color="BFBFBF" w:sz="4"/>
              <w:right w:val="none" w:color="FFFFFF" w:sz="0"/>
            </w:tcBorders>
            <w:shd w:fill="F7F7F7" w:color="auto" w:val="clear"/>
            <w:tcMar>
              <w:top w:type="dxa" w:w="50"/>
              <w:left w:type="dxa" w:w="90"/>
              <w:bottom w:type="dxa" w:w="50"/>
              <w:right w:type="dxa" w:w="90"/>
            </w:tcMar>
          </w:tcPr>
          <w:p>
            <w:pPr>
              <w:keepNext/>
              <w:jc w:val="left"/>
            </w:pPr>
            <w:r>
              <w:rPr>
                <w:b w:val="false"/>
                <w:bCs w:val="false"/>
                <w:sz w:val="19"/>
                <w:szCs w:val="19"/>
              </w:rPr>
              <w:t xml:space="preserve"/>
            </w:r>
          </w:p>
        </w:tc>
        <w:tc>
          <w:tcPr>
            <w:tcW w:type="dxa" w:w="2350"/>
            <w:tcBorders>
              <w:top w:val="none" w:color="FFFFFF" w:sz="0"/>
              <w:left w:val="none" w:color="FFFFFF" w:sz="0"/>
              <w:bottom w:val="single" w:color="BFBFBF" w:sz="4"/>
              <w:right w:val="none" w:color="FFFFFF" w:sz="0"/>
            </w:tcBorders>
            <w:shd w:fill="F7F7F7" w:color="auto" w:val="clear"/>
            <w:tcMar>
              <w:top w:type="dxa" w:w="50"/>
              <w:left w:type="dxa" w:w="90"/>
              <w:bottom w:type="dxa" w:w="50"/>
              <w:right w:type="dxa" w:w="90"/>
            </w:tcMar>
          </w:tcPr>
          <w:p>
            <w:pPr>
              <w:keepNext/>
              <w:jc w:val="right"/>
            </w:pPr>
            <w:r>
              <w:rPr>
                <w:b w:val="false"/>
                <w:bCs w:val="false"/>
                <w:sz w:val="19"/>
                <w:szCs w:val="19"/>
              </w:rPr>
              <w:t xml:space="preserve">θ (reversion speed)</w:t>
            </w:r>
          </w:p>
        </w:tc>
        <w:tc>
          <w:tcPr>
            <w:tcW w:type="dxa" w:w="1700"/>
            <w:tcBorders>
              <w:top w:val="none" w:color="FFFFFF" w:sz="0"/>
              <w:left w:val="none" w:color="FFFFFF" w:sz="0"/>
              <w:bottom w:val="single" w:color="BFBFBF" w:sz="4"/>
              <w:right w:val="none" w:color="FFFFFF" w:sz="0"/>
            </w:tcBorders>
            <w:shd w:fill="F7F7F7" w:color="auto" w:val="clear"/>
            <w:tcMar>
              <w:top w:type="dxa" w:w="50"/>
              <w:left w:type="dxa" w:w="90"/>
              <w:bottom w:type="dxa" w:w="50"/>
              <w:right w:type="dxa" w:w="90"/>
            </w:tcMar>
          </w:tcPr>
          <w:p>
            <w:pPr>
              <w:keepNext/>
              <w:jc w:val="right"/>
            </w:pPr>
            <w:r>
              <w:rPr>
                <w:b w:val="false"/>
                <w:bCs w:val="false"/>
                <w:sz w:val="19"/>
                <w:szCs w:val="19"/>
              </w:rPr>
              <w:t xml:space="preserve">5.04</w:t>
            </w:r>
          </w:p>
        </w:tc>
        <w:tc>
          <w:tcPr>
            <w:tcW w:type="dxa" w:w="3690"/>
            <w:tcBorders>
              <w:top w:val="none" w:color="FFFFFF" w:sz="0"/>
              <w:left w:val="none" w:color="FFFFFF" w:sz="0"/>
              <w:bottom w:val="single" w:color="BFBFBF" w:sz="4"/>
              <w:right w:val="none" w:color="FFFFFF" w:sz="0"/>
            </w:tcBorders>
            <w:shd w:fill="F7F7F7" w:color="auto" w:val="clear"/>
            <w:tcMar>
              <w:top w:type="dxa" w:w="50"/>
              <w:left w:type="dxa" w:w="90"/>
              <w:bottom w:type="dxa" w:w="50"/>
              <w:right w:type="dxa" w:w="90"/>
            </w:tcMar>
          </w:tcPr>
          <w:p>
            <w:pPr>
              <w:keepNext/>
              <w:jc w:val="right"/>
            </w:pPr>
            <w:r>
              <w:rPr>
                <w:b w:val="false"/>
                <w:bCs w:val="false"/>
                <w:sz w:val="19"/>
                <w:szCs w:val="19"/>
              </w:rPr>
              <w:t xml:space="preserve">Half-life 34.7 trading days</w:t>
            </w:r>
          </w:p>
        </w:tc>
      </w:tr>
      <w:tr>
        <w:trPr>
          <w:cantSplit/>
        </w:trPr>
        <w:tc>
          <w:tcPr>
            <w:tcW w:type="dxa" w:w="1900"/>
            <w:tcBorders>
              <w:top w:val="none" w:color="FFFFFF" w:sz="0"/>
              <w:left w:val="none" w:color="FFFFFF" w:sz="0"/>
              <w:bottom w:val="single" w:color="BFBFBF" w:sz="4"/>
              <w:right w:val="none" w:color="FFFFFF" w:sz="0"/>
            </w:tcBorders>
            <w:tcMar>
              <w:top w:type="dxa" w:w="50"/>
              <w:left w:type="dxa" w:w="90"/>
              <w:bottom w:type="dxa" w:w="50"/>
              <w:right w:type="dxa" w:w="90"/>
            </w:tcMar>
          </w:tcPr>
          <w:p>
            <w:pPr>
              <w:keepNext/>
              <w:jc w:val="left"/>
            </w:pPr>
            <w:r>
              <w:rPr>
                <w:b w:val="false"/>
                <w:bCs w:val="false"/>
                <w:sz w:val="19"/>
                <w:szCs w:val="19"/>
              </w:rPr>
              <w:t xml:space="preserve"/>
            </w:r>
          </w:p>
        </w:tc>
        <w:tc>
          <w:tcPr>
            <w:tcW w:type="dxa" w:w="2350"/>
            <w:tcBorders>
              <w:top w:val="none" w:color="FFFFFF" w:sz="0"/>
              <w:left w:val="none" w:color="FFFFFF" w:sz="0"/>
              <w:bottom w:val="single" w:color="BFBFBF" w:sz="4"/>
              <w:right w:val="none" w:color="FFFFFF" w:sz="0"/>
            </w:tcBorders>
            <w:tcMar>
              <w:top w:type="dxa" w:w="50"/>
              <w:left w:type="dxa" w:w="90"/>
              <w:bottom w:type="dxa" w:w="50"/>
              <w:right w:type="dxa" w:w="90"/>
            </w:tcMar>
          </w:tcPr>
          <w:p>
            <w:pPr>
              <w:keepNext/>
              <w:jc w:val="right"/>
            </w:pPr>
            <w:r>
              <w:rPr>
                <w:b w:val="false"/>
                <w:bCs w:val="false"/>
                <w:sz w:val="19"/>
                <w:szCs w:val="19"/>
              </w:rPr>
              <w:t xml:space="preserve">σ (volatility)</w:t>
            </w:r>
          </w:p>
        </w:tc>
        <w:tc>
          <w:tcPr>
            <w:tcW w:type="dxa" w:w="1700"/>
            <w:tcBorders>
              <w:top w:val="none" w:color="FFFFFF" w:sz="0"/>
              <w:left w:val="none" w:color="FFFFFF" w:sz="0"/>
              <w:bottom w:val="single" w:color="BFBFBF" w:sz="4"/>
              <w:right w:val="none" w:color="FFFFFF" w:sz="0"/>
            </w:tcBorders>
            <w:tcMar>
              <w:top w:type="dxa" w:w="50"/>
              <w:left w:type="dxa" w:w="90"/>
              <w:bottom w:type="dxa" w:w="50"/>
              <w:right w:type="dxa" w:w="90"/>
            </w:tcMar>
          </w:tcPr>
          <w:p>
            <w:pPr>
              <w:keepNext/>
              <w:jc w:val="right"/>
            </w:pPr>
            <w:r>
              <w:rPr>
                <w:b w:val="false"/>
                <w:bCs w:val="false"/>
                <w:sz w:val="19"/>
                <w:szCs w:val="19"/>
              </w:rPr>
              <w:t xml:space="preserve">28.3%</w:t>
            </w:r>
          </w:p>
        </w:tc>
        <w:tc>
          <w:tcPr>
            <w:tcW w:type="dxa" w:w="3690"/>
            <w:tcBorders>
              <w:top w:val="none" w:color="FFFFFF" w:sz="0"/>
              <w:left w:val="none" w:color="FFFFFF" w:sz="0"/>
              <w:bottom w:val="single" w:color="BFBFBF" w:sz="4"/>
              <w:right w:val="none" w:color="FFFFFF" w:sz="0"/>
            </w:tcBorders>
            <w:tcMar>
              <w:top w:type="dxa" w:w="50"/>
              <w:left w:type="dxa" w:w="90"/>
              <w:bottom w:type="dxa" w:w="50"/>
              <w:right w:type="dxa" w:w="90"/>
            </w:tcMar>
          </w:tcPr>
          <w:p>
            <w:pPr>
              <w:keepNext/>
              <w:jc w:val="right"/>
            </w:pPr>
            <w:r>
              <w:rPr>
                <w:b w:val="false"/>
                <w:bCs w:val="false"/>
                <w:sz w:val="19"/>
                <w:szCs w:val="19"/>
              </w:rPr>
              <w:t xml:space="preserve">Volatility of deviations</w:t>
            </w:r>
          </w:p>
        </w:tc>
      </w:tr>
      <w:tr>
        <w:trPr>
          <w:cantSplit/>
        </w:trPr>
        <w:tc>
          <w:tcPr>
            <w:tcW w:type="dxa" w:w="1900"/>
            <w:tcBorders>
              <w:top w:val="none" w:color="FFFFFF" w:sz="0"/>
              <w:left w:val="none" w:color="FFFFFF" w:sz="0"/>
              <w:bottom w:val="single" w:color="BFBFBF" w:sz="4"/>
              <w:right w:val="none" w:color="FFFFFF" w:sz="0"/>
            </w:tcBorders>
            <w:shd w:fill="F7F7F7" w:color="auto" w:val="clear"/>
            <w:tcMar>
              <w:top w:type="dxa" w:w="50"/>
              <w:left w:type="dxa" w:w="90"/>
              <w:bottom w:type="dxa" w:w="50"/>
              <w:right w:type="dxa" w:w="90"/>
            </w:tcMar>
          </w:tcPr>
          <w:p>
            <w:pPr>
              <w:keepNext/>
              <w:jc w:val="left"/>
            </w:pPr>
            <w:r>
              <w:rPr>
                <w:b w:val="false"/>
                <w:bCs w:val="false"/>
                <w:sz w:val="19"/>
                <w:szCs w:val="19"/>
              </w:rPr>
              <w:t xml:space="preserve"/>
            </w:r>
          </w:p>
        </w:tc>
        <w:tc>
          <w:tcPr>
            <w:tcW w:type="dxa" w:w="2350"/>
            <w:tcBorders>
              <w:top w:val="none" w:color="FFFFFF" w:sz="0"/>
              <w:left w:val="none" w:color="FFFFFF" w:sz="0"/>
              <w:bottom w:val="single" w:color="BFBFBF" w:sz="4"/>
              <w:right w:val="none" w:color="FFFFFF" w:sz="0"/>
            </w:tcBorders>
            <w:shd w:fill="F7F7F7" w:color="auto" w:val="clear"/>
            <w:tcMar>
              <w:top w:type="dxa" w:w="50"/>
              <w:left w:type="dxa" w:w="90"/>
              <w:bottom w:type="dxa" w:w="50"/>
              <w:right w:type="dxa" w:w="90"/>
            </w:tcMar>
          </w:tcPr>
          <w:p>
            <w:pPr>
              <w:keepNext/>
              <w:jc w:val="right"/>
            </w:pPr>
            <w:r>
              <w:rPr>
                <w:b w:val="false"/>
                <w:bCs w:val="false"/>
                <w:sz w:val="19"/>
                <w:szCs w:val="19"/>
              </w:rPr>
              <w:t xml:space="preserve">Y(0) (current deviation)</w:t>
            </w:r>
          </w:p>
        </w:tc>
        <w:tc>
          <w:tcPr>
            <w:tcW w:type="dxa" w:w="1700"/>
            <w:tcBorders>
              <w:top w:val="none" w:color="FFFFFF" w:sz="0"/>
              <w:left w:val="none" w:color="FFFFFF" w:sz="0"/>
              <w:bottom w:val="single" w:color="BFBFBF" w:sz="4"/>
              <w:right w:val="none" w:color="FFFFFF" w:sz="0"/>
            </w:tcBorders>
            <w:shd w:fill="F7F7F7" w:color="auto" w:val="clear"/>
            <w:tcMar>
              <w:top w:type="dxa" w:w="50"/>
              <w:left w:type="dxa" w:w="90"/>
              <w:bottom w:type="dxa" w:w="50"/>
              <w:right w:type="dxa" w:w="90"/>
            </w:tcMar>
          </w:tcPr>
          <w:p>
            <w:pPr>
              <w:keepNext/>
              <w:jc w:val="right"/>
            </w:pPr>
            <w:r>
              <w:rPr>
                <w:b w:val="false"/>
                <w:bCs w:val="false"/>
                <w:sz w:val="19"/>
                <w:szCs w:val="19"/>
              </w:rPr>
              <w:t xml:space="preserve">+0.129</w:t>
            </w:r>
          </w:p>
        </w:tc>
        <w:tc>
          <w:tcPr>
            <w:tcW w:type="dxa" w:w="3690"/>
            <w:tcBorders>
              <w:top w:val="none" w:color="FFFFFF" w:sz="0"/>
              <w:left w:val="none" w:color="FFFFFF" w:sz="0"/>
              <w:bottom w:val="single" w:color="BFBFBF" w:sz="4"/>
              <w:right w:val="none" w:color="FFFFFF" w:sz="0"/>
            </w:tcBorders>
            <w:shd w:fill="F7F7F7" w:color="auto" w:val="clear"/>
            <w:tcMar>
              <w:top w:type="dxa" w:w="50"/>
              <w:left w:type="dxa" w:w="90"/>
              <w:bottom w:type="dxa" w:w="50"/>
              <w:right w:type="dxa" w:w="90"/>
            </w:tcMar>
          </w:tcPr>
          <w:p>
            <w:pPr>
              <w:keepNext/>
              <w:jc w:val="right"/>
            </w:pPr>
            <w:r>
              <w:rPr>
                <w:b w:val="false"/>
                <w:bCs w:val="false"/>
                <w:sz w:val="19"/>
                <w:szCs w:val="19"/>
              </w:rPr>
              <w:t xml:space="preserve">Price 13.7% above trend</w:t>
            </w:r>
          </w:p>
        </w:tc>
      </w:tr>
      <w:tr>
        <w:trPr>
          <w:cantSplit/>
        </w:trPr>
        <w:tc>
          <w:tcPr>
            <w:tcW w:type="dxa" w:w="1900"/>
            <w:tcBorders>
              <w:top w:val="none" w:color="FFFFFF" w:sz="0"/>
              <w:left w:val="none" w:color="FFFFFF" w:sz="0"/>
              <w:bottom w:val="single" w:color="BFBFBF" w:sz="4"/>
              <w:right w:val="none" w:color="FFFFFF" w:sz="0"/>
            </w:tcBorders>
            <w:tcMar>
              <w:top w:type="dxa" w:w="50"/>
              <w:left w:type="dxa" w:w="90"/>
              <w:bottom w:type="dxa" w:w="50"/>
              <w:right w:type="dxa" w:w="90"/>
            </w:tcMar>
          </w:tcPr>
          <w:p>
            <w:pPr>
              <w:keepNext/>
              <w:jc w:val="left"/>
            </w:pPr>
            <w:r>
              <w:rPr>
                <w:b w:val="false"/>
                <w:bCs w:val="false"/>
                <w:sz w:val="19"/>
                <w:szCs w:val="19"/>
              </w:rPr>
              <w:t xml:space="preserve">Plain OU (g = 0)</w:t>
            </w:r>
          </w:p>
        </w:tc>
        <w:tc>
          <w:tcPr>
            <w:tcW w:type="dxa" w:w="2350"/>
            <w:tcBorders>
              <w:top w:val="none" w:color="FFFFFF" w:sz="0"/>
              <w:left w:val="none" w:color="FFFFFF" w:sz="0"/>
              <w:bottom w:val="single" w:color="BFBFBF" w:sz="4"/>
              <w:right w:val="none" w:color="FFFFFF" w:sz="0"/>
            </w:tcBorders>
            <w:tcMar>
              <w:top w:type="dxa" w:w="50"/>
              <w:left w:type="dxa" w:w="90"/>
              <w:bottom w:type="dxa" w:w="50"/>
              <w:right w:type="dxa" w:w="90"/>
            </w:tcMar>
          </w:tcPr>
          <w:p>
            <w:pPr>
              <w:keepNext/>
              <w:jc w:val="right"/>
            </w:pPr>
            <w:r>
              <w:rPr>
                <w:b w:val="false"/>
                <w:bCs w:val="false"/>
                <w:sz w:val="19"/>
                <w:szCs w:val="19"/>
              </w:rPr>
              <w:t xml:space="preserve">θ</w:t>
            </w:r>
          </w:p>
        </w:tc>
        <w:tc>
          <w:tcPr>
            <w:tcW w:type="dxa" w:w="1700"/>
            <w:tcBorders>
              <w:top w:val="none" w:color="FFFFFF" w:sz="0"/>
              <w:left w:val="none" w:color="FFFFFF" w:sz="0"/>
              <w:bottom w:val="single" w:color="BFBFBF" w:sz="4"/>
              <w:right w:val="none" w:color="FFFFFF" w:sz="0"/>
            </w:tcBorders>
            <w:tcMar>
              <w:top w:type="dxa" w:w="50"/>
              <w:left w:type="dxa" w:w="90"/>
              <w:bottom w:type="dxa" w:w="50"/>
              <w:right w:type="dxa" w:w="90"/>
            </w:tcMar>
          </w:tcPr>
          <w:p>
            <w:pPr>
              <w:keepNext/>
              <w:jc w:val="right"/>
            </w:pPr>
            <w:r>
              <w:rPr>
                <w:b w:val="false"/>
                <w:bCs w:val="false"/>
                <w:sz w:val="19"/>
                <w:szCs w:val="19"/>
              </w:rPr>
              <w:t xml:space="preserve">1.50</w:t>
            </w:r>
          </w:p>
        </w:tc>
        <w:tc>
          <w:tcPr>
            <w:tcW w:type="dxa" w:w="3690"/>
            <w:tcBorders>
              <w:top w:val="none" w:color="FFFFFF" w:sz="0"/>
              <w:left w:val="none" w:color="FFFFFF" w:sz="0"/>
              <w:bottom w:val="single" w:color="BFBFBF" w:sz="4"/>
              <w:right w:val="none" w:color="FFFFFF" w:sz="0"/>
            </w:tcBorders>
            <w:tcMar>
              <w:top w:type="dxa" w:w="50"/>
              <w:left w:type="dxa" w:w="90"/>
              <w:bottom w:type="dxa" w:w="50"/>
              <w:right w:type="dxa" w:w="90"/>
            </w:tcMar>
          </w:tcPr>
          <w:p>
            <w:pPr>
              <w:keepNext/>
              <w:jc w:val="right"/>
            </w:pPr>
            <w:r>
              <w:rPr>
                <w:b w:val="false"/>
                <w:bCs w:val="false"/>
                <w:sz w:val="19"/>
                <w:szCs w:val="19"/>
              </w:rPr>
              <w:t xml:space="preserve">Half-life 116 trading days</w:t>
            </w:r>
          </w:p>
        </w:tc>
      </w:tr>
      <w:tr>
        <w:trPr>
          <w:cantSplit/>
        </w:trPr>
        <w:tc>
          <w:tcPr>
            <w:tcW w:type="dxa" w:w="1900"/>
            <w:tcBorders>
              <w:top w:val="none" w:color="FFFFFF" w:sz="0"/>
              <w:left w:val="none" w:color="FFFFFF" w:sz="0"/>
              <w:bottom w:val="single" w:color="BFBFBF" w:sz="4"/>
              <w:right w:val="none" w:color="FFFFFF" w:sz="0"/>
            </w:tcBorders>
            <w:shd w:fill="F7F7F7" w:color="auto" w:val="clear"/>
            <w:tcMar>
              <w:top w:type="dxa" w:w="50"/>
              <w:left w:type="dxa" w:w="90"/>
              <w:bottom w:type="dxa" w:w="50"/>
              <w:right w:type="dxa" w:w="90"/>
            </w:tcMar>
          </w:tcPr>
          <w:p>
            <w:pPr>
              <w:keepNext/>
              <w:jc w:val="left"/>
            </w:pPr>
            <w:r>
              <w:rPr>
                <w:b w:val="false"/>
                <w:bCs w:val="false"/>
                <w:sz w:val="19"/>
                <w:szCs w:val="19"/>
              </w:rPr>
              <w:t xml:space="preserve">Merton JD</w:t>
            </w:r>
          </w:p>
        </w:tc>
        <w:tc>
          <w:tcPr>
            <w:tcW w:type="dxa" w:w="2350"/>
            <w:tcBorders>
              <w:top w:val="none" w:color="FFFFFF" w:sz="0"/>
              <w:left w:val="none" w:color="FFFFFF" w:sz="0"/>
              <w:bottom w:val="single" w:color="BFBFBF" w:sz="4"/>
              <w:right w:val="none" w:color="FFFFFF" w:sz="0"/>
            </w:tcBorders>
            <w:shd w:fill="F7F7F7" w:color="auto" w:val="clear"/>
            <w:tcMar>
              <w:top w:type="dxa" w:w="50"/>
              <w:left w:type="dxa" w:w="90"/>
              <w:bottom w:type="dxa" w:w="50"/>
              <w:right w:type="dxa" w:w="90"/>
            </w:tcMar>
          </w:tcPr>
          <w:p>
            <w:pPr>
              <w:keepNext/>
              <w:jc w:val="right"/>
            </w:pPr>
            <w:r>
              <w:rPr>
                <w:b w:val="false"/>
                <w:bCs w:val="false"/>
                <w:sz w:val="19"/>
                <w:szCs w:val="19"/>
              </w:rPr>
              <w:t xml:space="preserve">μ (total drift)</w:t>
            </w:r>
          </w:p>
        </w:tc>
        <w:tc>
          <w:tcPr>
            <w:tcW w:type="dxa" w:w="1700"/>
            <w:tcBorders>
              <w:top w:val="none" w:color="FFFFFF" w:sz="0"/>
              <w:left w:val="none" w:color="FFFFFF" w:sz="0"/>
              <w:bottom w:val="single" w:color="BFBFBF" w:sz="4"/>
              <w:right w:val="none" w:color="FFFFFF" w:sz="0"/>
            </w:tcBorders>
            <w:shd w:fill="F7F7F7" w:color="auto" w:val="clear"/>
            <w:tcMar>
              <w:top w:type="dxa" w:w="50"/>
              <w:left w:type="dxa" w:w="90"/>
              <w:bottom w:type="dxa" w:w="50"/>
              <w:right w:type="dxa" w:w="90"/>
            </w:tcMar>
          </w:tcPr>
          <w:p>
            <w:pPr>
              <w:keepNext/>
              <w:jc w:val="right"/>
            </w:pPr>
            <w:r>
              <w:rPr>
                <w:b w:val="false"/>
                <w:bCs w:val="false"/>
                <w:sz w:val="19"/>
                <w:szCs w:val="19"/>
              </w:rPr>
              <w:t xml:space="preserve">22.8%</w:t>
            </w:r>
          </w:p>
        </w:tc>
        <w:tc>
          <w:tcPr>
            <w:tcW w:type="dxa" w:w="3690"/>
            <w:tcBorders>
              <w:top w:val="none" w:color="FFFFFF" w:sz="0"/>
              <w:left w:val="none" w:color="FFFFFF" w:sz="0"/>
              <w:bottom w:val="single" w:color="BFBFBF" w:sz="4"/>
              <w:right w:val="none" w:color="FFFFFF" w:sz="0"/>
            </w:tcBorders>
            <w:shd w:fill="F7F7F7" w:color="auto" w:val="clear"/>
            <w:tcMar>
              <w:top w:type="dxa" w:w="50"/>
              <w:left w:type="dxa" w:w="90"/>
              <w:bottom w:type="dxa" w:w="50"/>
              <w:right w:type="dxa" w:w="90"/>
            </w:tcMar>
          </w:tcPr>
          <w:p>
            <w:pPr>
              <w:keepNext/>
              <w:jc w:val="right"/>
            </w:pPr>
            <w:r>
              <w:rPr>
                <w:b w:val="false"/>
                <w:bCs w:val="false"/>
                <w:sz w:val="19"/>
                <w:szCs w:val="19"/>
              </w:rPr>
              <w:t xml:space="preserve">Expected annual price return</w:t>
            </w:r>
          </w:p>
        </w:tc>
      </w:tr>
      <w:tr>
        <w:trPr>
          <w:cantSplit/>
        </w:trPr>
        <w:tc>
          <w:tcPr>
            <w:tcW w:type="dxa" w:w="1900"/>
            <w:tcBorders>
              <w:top w:val="none" w:color="FFFFFF" w:sz="0"/>
              <w:left w:val="none" w:color="FFFFFF" w:sz="0"/>
              <w:bottom w:val="single" w:color="BFBFBF" w:sz="4"/>
              <w:right w:val="none" w:color="FFFFFF" w:sz="0"/>
            </w:tcBorders>
            <w:tcMar>
              <w:top w:type="dxa" w:w="50"/>
              <w:left w:type="dxa" w:w="90"/>
              <w:bottom w:type="dxa" w:w="50"/>
              <w:right w:type="dxa" w:w="90"/>
            </w:tcMar>
          </w:tcPr>
          <w:p>
            <w:pPr>
              <w:keepNext/>
              <w:jc w:val="left"/>
            </w:pPr>
            <w:r>
              <w:rPr>
                <w:b w:val="false"/>
                <w:bCs w:val="false"/>
                <w:sz w:val="19"/>
                <w:szCs w:val="19"/>
              </w:rPr>
              <w:t xml:space="preserve"/>
            </w:r>
          </w:p>
        </w:tc>
        <w:tc>
          <w:tcPr>
            <w:tcW w:type="dxa" w:w="2350"/>
            <w:tcBorders>
              <w:top w:val="none" w:color="FFFFFF" w:sz="0"/>
              <w:left w:val="none" w:color="FFFFFF" w:sz="0"/>
              <w:bottom w:val="single" w:color="BFBFBF" w:sz="4"/>
              <w:right w:val="none" w:color="FFFFFF" w:sz="0"/>
            </w:tcBorders>
            <w:tcMar>
              <w:top w:type="dxa" w:w="50"/>
              <w:left w:type="dxa" w:w="90"/>
              <w:bottom w:type="dxa" w:w="50"/>
              <w:right w:type="dxa" w:w="90"/>
            </w:tcMar>
          </w:tcPr>
          <w:p>
            <w:pPr>
              <w:keepNext/>
              <w:jc w:val="right"/>
            </w:pPr>
            <w:r>
              <w:rPr>
                <w:b w:val="false"/>
                <w:bCs w:val="false"/>
                <w:sz w:val="19"/>
                <w:szCs w:val="19"/>
              </w:rPr>
              <w:t xml:space="preserve">σ (diffusion)</w:t>
            </w:r>
          </w:p>
        </w:tc>
        <w:tc>
          <w:tcPr>
            <w:tcW w:type="dxa" w:w="1700"/>
            <w:tcBorders>
              <w:top w:val="none" w:color="FFFFFF" w:sz="0"/>
              <w:left w:val="none" w:color="FFFFFF" w:sz="0"/>
              <w:bottom w:val="single" w:color="BFBFBF" w:sz="4"/>
              <w:right w:val="none" w:color="FFFFFF" w:sz="0"/>
            </w:tcBorders>
            <w:tcMar>
              <w:top w:type="dxa" w:w="50"/>
              <w:left w:type="dxa" w:w="90"/>
              <w:bottom w:type="dxa" w:w="50"/>
              <w:right w:type="dxa" w:w="90"/>
            </w:tcMar>
          </w:tcPr>
          <w:p>
            <w:pPr>
              <w:keepNext/>
              <w:jc w:val="right"/>
            </w:pPr>
            <w:r>
              <w:rPr>
                <w:b w:val="false"/>
                <w:bCs w:val="false"/>
                <w:sz w:val="19"/>
                <w:szCs w:val="19"/>
              </w:rPr>
              <w:t xml:space="preserve">21.5%</w:t>
            </w:r>
          </w:p>
        </w:tc>
        <w:tc>
          <w:tcPr>
            <w:tcW w:type="dxa" w:w="3690"/>
            <w:tcBorders>
              <w:top w:val="none" w:color="FFFFFF" w:sz="0"/>
              <w:left w:val="none" w:color="FFFFFF" w:sz="0"/>
              <w:bottom w:val="single" w:color="BFBFBF" w:sz="4"/>
              <w:right w:val="none" w:color="FFFFFF" w:sz="0"/>
            </w:tcBorders>
            <w:tcMar>
              <w:top w:type="dxa" w:w="50"/>
              <w:left w:type="dxa" w:w="90"/>
              <w:bottom w:type="dxa" w:w="50"/>
              <w:right w:type="dxa" w:w="90"/>
            </w:tcMar>
          </w:tcPr>
          <w:p>
            <w:pPr>
              <w:keepNext/>
              <w:jc w:val="right"/>
            </w:pPr>
            <w:r>
              <w:rPr>
                <w:b w:val="false"/>
                <w:bCs w:val="false"/>
                <w:sz w:val="19"/>
                <w:szCs w:val="19"/>
              </w:rPr>
              <w:t xml:space="preserve">Volatility between jumps</w:t>
            </w:r>
          </w:p>
        </w:tc>
      </w:tr>
      <w:tr>
        <w:trPr>
          <w:cantSplit/>
        </w:trPr>
        <w:tc>
          <w:tcPr>
            <w:tcW w:type="dxa" w:w="1900"/>
            <w:tcBorders>
              <w:top w:val="none" w:color="FFFFFF" w:sz="0"/>
              <w:left w:val="none" w:color="FFFFFF" w:sz="0"/>
              <w:bottom w:val="single" w:color="BFBFBF" w:sz="4"/>
              <w:right w:val="none" w:color="FFFFFF" w:sz="0"/>
            </w:tcBorders>
            <w:shd w:fill="F7F7F7" w:color="auto" w:val="clear"/>
            <w:tcMar>
              <w:top w:type="dxa" w:w="50"/>
              <w:left w:type="dxa" w:w="90"/>
              <w:bottom w:type="dxa" w:w="50"/>
              <w:right w:type="dxa" w:w="90"/>
            </w:tcMar>
          </w:tcPr>
          <w:p>
            <w:pPr>
              <w:keepNext/>
              <w:jc w:val="left"/>
            </w:pPr>
            <w:r>
              <w:rPr>
                <w:b w:val="false"/>
                <w:bCs w:val="false"/>
                <w:sz w:val="19"/>
                <w:szCs w:val="19"/>
              </w:rPr>
              <w:t xml:space="preserve"/>
            </w:r>
          </w:p>
        </w:tc>
        <w:tc>
          <w:tcPr>
            <w:tcW w:type="dxa" w:w="2350"/>
            <w:tcBorders>
              <w:top w:val="none" w:color="FFFFFF" w:sz="0"/>
              <w:left w:val="none" w:color="FFFFFF" w:sz="0"/>
              <w:bottom w:val="single" w:color="BFBFBF" w:sz="4"/>
              <w:right w:val="none" w:color="FFFFFF" w:sz="0"/>
            </w:tcBorders>
            <w:shd w:fill="F7F7F7" w:color="auto" w:val="clear"/>
            <w:tcMar>
              <w:top w:type="dxa" w:w="50"/>
              <w:left w:type="dxa" w:w="90"/>
              <w:bottom w:type="dxa" w:w="50"/>
              <w:right w:type="dxa" w:w="90"/>
            </w:tcMar>
          </w:tcPr>
          <w:p>
            <w:pPr>
              <w:keepNext/>
              <w:jc w:val="right"/>
            </w:pPr>
            <w:r>
              <w:rPr>
                <w:b w:val="false"/>
                <w:bCs w:val="false"/>
                <w:sz w:val="19"/>
                <w:szCs w:val="19"/>
              </w:rPr>
              <w:t xml:space="preserve">λ (intensity)</w:t>
            </w:r>
          </w:p>
        </w:tc>
        <w:tc>
          <w:tcPr>
            <w:tcW w:type="dxa" w:w="1700"/>
            <w:tcBorders>
              <w:top w:val="none" w:color="FFFFFF" w:sz="0"/>
              <w:left w:val="none" w:color="FFFFFF" w:sz="0"/>
              <w:bottom w:val="single" w:color="BFBFBF" w:sz="4"/>
              <w:right w:val="none" w:color="FFFFFF" w:sz="0"/>
            </w:tcBorders>
            <w:shd w:fill="F7F7F7" w:color="auto" w:val="clear"/>
            <w:tcMar>
              <w:top w:type="dxa" w:w="50"/>
              <w:left w:type="dxa" w:w="90"/>
              <w:bottom w:type="dxa" w:w="50"/>
              <w:right w:type="dxa" w:w="90"/>
            </w:tcMar>
          </w:tcPr>
          <w:p>
            <w:pPr>
              <w:keepNext/>
              <w:jc w:val="right"/>
            </w:pPr>
            <w:r>
              <w:rPr>
                <w:b w:val="false"/>
                <w:bCs w:val="false"/>
                <w:sz w:val="19"/>
                <w:szCs w:val="19"/>
              </w:rPr>
              <w:t xml:space="preserve">12.0 / yr</w:t>
            </w:r>
          </w:p>
        </w:tc>
        <w:tc>
          <w:tcPr>
            <w:tcW w:type="dxa" w:w="3690"/>
            <w:tcBorders>
              <w:top w:val="none" w:color="FFFFFF" w:sz="0"/>
              <w:left w:val="none" w:color="FFFFFF" w:sz="0"/>
              <w:bottom w:val="single" w:color="BFBFBF" w:sz="4"/>
              <w:right w:val="none" w:color="FFFFFF" w:sz="0"/>
            </w:tcBorders>
            <w:shd w:fill="F7F7F7" w:color="auto" w:val="clear"/>
            <w:tcMar>
              <w:top w:type="dxa" w:w="50"/>
              <w:left w:type="dxa" w:w="90"/>
              <w:bottom w:type="dxa" w:w="50"/>
              <w:right w:type="dxa" w:w="90"/>
            </w:tcMar>
          </w:tcPr>
          <w:p>
            <w:pPr>
              <w:keepNext/>
              <w:jc w:val="right"/>
            </w:pPr>
            <w:r>
              <w:rPr>
                <w:b w:val="false"/>
                <w:bCs w:val="false"/>
                <w:sz w:val="19"/>
                <w:szCs w:val="19"/>
              </w:rPr>
              <w:t xml:space="preserve">Cap binding (see 3.2)</w:t>
            </w:r>
          </w:p>
        </w:tc>
      </w:tr>
      <w:tr>
        <w:trPr>
          <w:cantSplit/>
        </w:trPr>
        <w:tc>
          <w:tcPr>
            <w:tcW w:type="dxa" w:w="1900"/>
            <w:tcBorders>
              <w:top w:val="none" w:color="FFFFFF" w:sz="0"/>
              <w:left w:val="none" w:color="FFFFFF" w:sz="0"/>
              <w:bottom w:val="single" w:color="BFBFBF" w:sz="4"/>
              <w:right w:val="none" w:color="FFFFFF" w:sz="0"/>
            </w:tcBorders>
            <w:tcMar>
              <w:top w:type="dxa" w:w="50"/>
              <w:left w:type="dxa" w:w="90"/>
              <w:bottom w:type="dxa" w:w="50"/>
              <w:right w:type="dxa" w:w="90"/>
            </w:tcMar>
          </w:tcPr>
          <w:p>
            <w:pPr>
              <w:keepNext/>
              <w:jc w:val="left"/>
            </w:pPr>
            <w:r>
              <w:rPr>
                <w:b w:val="false"/>
                <w:bCs w:val="false"/>
                <w:sz w:val="19"/>
                <w:szCs w:val="19"/>
              </w:rPr>
              <w:t xml:space="preserve"/>
            </w:r>
          </w:p>
        </w:tc>
        <w:tc>
          <w:tcPr>
            <w:tcW w:type="dxa" w:w="2350"/>
            <w:tcBorders>
              <w:top w:val="none" w:color="FFFFFF" w:sz="0"/>
              <w:left w:val="none" w:color="FFFFFF" w:sz="0"/>
              <w:bottom w:val="single" w:color="BFBFBF" w:sz="4"/>
              <w:right w:val="none" w:color="FFFFFF" w:sz="0"/>
            </w:tcBorders>
            <w:tcMar>
              <w:top w:type="dxa" w:w="50"/>
              <w:left w:type="dxa" w:w="90"/>
              <w:bottom w:type="dxa" w:w="50"/>
              <w:right w:type="dxa" w:w="90"/>
            </w:tcMar>
          </w:tcPr>
          <w:p>
            <w:pPr>
              <w:keepNext/>
              <w:jc w:val="right"/>
            </w:pPr>
            <w:r>
              <w:rPr>
                <w:b w:val="false"/>
                <w:bCs w:val="false"/>
                <w:sz w:val="19"/>
                <w:szCs w:val="19"/>
              </w:rPr>
              <w:t xml:space="preserve">μ_J, σ_J (jump size)</w:t>
            </w:r>
          </w:p>
        </w:tc>
        <w:tc>
          <w:tcPr>
            <w:tcW w:type="dxa" w:w="1700"/>
            <w:tcBorders>
              <w:top w:val="none" w:color="FFFFFF" w:sz="0"/>
              <w:left w:val="none" w:color="FFFFFF" w:sz="0"/>
              <w:bottom w:val="single" w:color="BFBFBF" w:sz="4"/>
              <w:right w:val="none" w:color="FFFFFF" w:sz="0"/>
            </w:tcBorders>
            <w:tcMar>
              <w:top w:type="dxa" w:w="50"/>
              <w:left w:type="dxa" w:w="90"/>
              <w:bottom w:type="dxa" w:w="50"/>
              <w:right w:type="dxa" w:w="90"/>
            </w:tcMar>
          </w:tcPr>
          <w:p>
            <w:pPr>
              <w:keepNext/>
              <w:jc w:val="right"/>
            </w:pPr>
            <w:r>
              <w:rPr>
                <w:b w:val="false"/>
                <w:bCs w:val="false"/>
                <w:sz w:val="19"/>
                <w:szCs w:val="19"/>
              </w:rPr>
              <w:t xml:space="preserve">-0.93%, 4.67%</w:t>
            </w:r>
          </w:p>
        </w:tc>
        <w:tc>
          <w:tcPr>
            <w:tcW w:type="dxa" w:w="3690"/>
            <w:tcBorders>
              <w:top w:val="none" w:color="FFFFFF" w:sz="0"/>
              <w:left w:val="none" w:color="FFFFFF" w:sz="0"/>
              <w:bottom w:val="single" w:color="BFBFBF" w:sz="4"/>
              <w:right w:val="none" w:color="FFFFFF" w:sz="0"/>
            </w:tcBorders>
            <w:tcMar>
              <w:top w:type="dxa" w:w="50"/>
              <w:left w:type="dxa" w:w="90"/>
              <w:bottom w:type="dxa" w:w="50"/>
              <w:right w:type="dxa" w:w="90"/>
            </w:tcMar>
          </w:tcPr>
          <w:p>
            <w:pPr>
              <w:keepNext/>
              <w:jc w:val="right"/>
            </w:pPr>
            <w:r>
              <w:rPr>
                <w:b w:val="false"/>
                <w:bCs w:val="false"/>
                <w:sz w:val="19"/>
                <w:szCs w:val="19"/>
              </w:rPr>
              <w:t xml:space="preserve">Mean and spread of log jumps</w:t>
            </w:r>
          </w:p>
        </w:tc>
      </w:tr>
      <w:tr>
        <w:trPr>
          <w:cantSplit/>
        </w:trPr>
        <w:tc>
          <w:tcPr>
            <w:tcW w:type="dxa" w:w="1900"/>
            <w:tcBorders>
              <w:top w:val="none" w:color="FFFFFF" w:sz="0"/>
              <w:left w:val="none" w:color="FFFFFF" w:sz="0"/>
              <w:bottom w:val="single" w:color="BFBFBF" w:sz="4"/>
              <w:right w:val="none" w:color="FFFFFF" w:sz="0"/>
            </w:tcBorders>
            <w:shd w:fill="F7F7F7" w:color="auto" w:val="clear"/>
            <w:tcMar>
              <w:top w:type="dxa" w:w="50"/>
              <w:left w:type="dxa" w:w="90"/>
              <w:bottom w:type="dxa" w:w="50"/>
              <w:right w:type="dxa" w:w="90"/>
            </w:tcMar>
          </w:tcPr>
          <w:p>
            <w:pPr>
              <w:keepNext w:val="false"/>
              <w:jc w:val="left"/>
            </w:pPr>
            <w:r>
              <w:rPr>
                <w:b w:val="false"/>
                <w:bCs w:val="false"/>
                <w:sz w:val="19"/>
                <w:szCs w:val="19"/>
              </w:rPr>
              <w:t xml:space="preserve"/>
            </w:r>
          </w:p>
        </w:tc>
        <w:tc>
          <w:tcPr>
            <w:tcW w:type="dxa" w:w="2350"/>
            <w:tcBorders>
              <w:top w:val="none" w:color="FFFFFF" w:sz="0"/>
              <w:left w:val="none" w:color="FFFFFF" w:sz="0"/>
              <w:bottom w:val="single" w:color="BFBFBF" w:sz="4"/>
              <w:right w:val="none" w:color="FFFFFF" w:sz="0"/>
            </w:tcBorders>
            <w:shd w:fill="F7F7F7" w:color="auto" w:val="clear"/>
            <w:tcMar>
              <w:top w:type="dxa" w:w="50"/>
              <w:left w:type="dxa" w:w="90"/>
              <w:bottom w:type="dxa" w:w="50"/>
              <w:right w:type="dxa" w:w="90"/>
            </w:tcMar>
          </w:tcPr>
          <w:p>
            <w:pPr>
              <w:keepNext w:val="false"/>
              <w:jc w:val="right"/>
            </w:pPr>
            <w:r>
              <w:rPr>
                <w:b w:val="false"/>
                <w:bCs w:val="false"/>
                <w:sz w:val="19"/>
                <w:szCs w:val="19"/>
              </w:rPr>
              <w:t xml:space="preserve">Total volatility</w:t>
            </w:r>
          </w:p>
        </w:tc>
        <w:tc>
          <w:tcPr>
            <w:tcW w:type="dxa" w:w="1700"/>
            <w:tcBorders>
              <w:top w:val="none" w:color="FFFFFF" w:sz="0"/>
              <w:left w:val="none" w:color="FFFFFF" w:sz="0"/>
              <w:bottom w:val="single" w:color="BFBFBF" w:sz="4"/>
              <w:right w:val="none" w:color="FFFFFF" w:sz="0"/>
            </w:tcBorders>
            <w:shd w:fill="F7F7F7" w:color="auto" w:val="clear"/>
            <w:tcMar>
              <w:top w:type="dxa" w:w="50"/>
              <w:left w:type="dxa" w:w="90"/>
              <w:bottom w:type="dxa" w:w="50"/>
              <w:right w:type="dxa" w:w="90"/>
            </w:tcMar>
          </w:tcPr>
          <w:p>
            <w:pPr>
              <w:keepNext w:val="false"/>
              <w:jc w:val="right"/>
            </w:pPr>
            <w:r>
              <w:rPr>
                <w:b w:val="false"/>
                <w:bCs w:val="false"/>
                <w:sz w:val="19"/>
                <w:szCs w:val="19"/>
              </w:rPr>
              <w:t xml:space="preserve">27.1%</w:t>
            </w:r>
          </w:p>
        </w:tc>
        <w:tc>
          <w:tcPr>
            <w:tcW w:type="dxa" w:w="3690"/>
            <w:tcBorders>
              <w:top w:val="none" w:color="FFFFFF" w:sz="0"/>
              <w:left w:val="none" w:color="FFFFFF" w:sz="0"/>
              <w:bottom w:val="single" w:color="BFBFBF" w:sz="4"/>
              <w:right w:val="none" w:color="FFFFFF" w:sz="0"/>
            </w:tcBorders>
            <w:shd w:fill="F7F7F7" w:color="auto" w:val="clear"/>
            <w:tcMar>
              <w:top w:type="dxa" w:w="50"/>
              <w:left w:type="dxa" w:w="90"/>
              <w:bottom w:type="dxa" w:w="50"/>
              <w:right w:type="dxa" w:w="90"/>
            </w:tcMar>
          </w:tcPr>
          <w:p>
            <w:pPr>
              <w:keepNext w:val="false"/>
              <w:jc w:val="right"/>
            </w:pPr>
            <w:r>
              <w:rPr>
                <w:b w:val="false"/>
                <w:bCs w:val="false"/>
                <w:sz w:val="19"/>
                <w:szCs w:val="19"/>
              </w:rPr>
              <w:t xml:space="preserve">Jumps: 37% of variance</w:t>
            </w:r>
          </w:p>
        </w:tc>
      </w:tr>
    </w:tbl>
    <w:p>
      <w:pPr>
        <w:spacing w:after="160"/>
      </w:pPr>
    </w:p>
    <w:p>
      <w:pPr>
        <w:spacing w:after="140" w:line="288"/>
        <w:jc w:val="both"/>
      </w:pPr>
      <w:r>
        <w:t xml:space="preserve">The drift estimates (about 21–23% per year) reflect AAPL's strong rise over the window, from about $226 to $316. Drift estimates are notoriously imprecise: with σ ≈ 28%, the standard error of a two-year mean return is about 28%/√2 ≈ 20 percentage points, so the true drift could plausibly be anywhere from near zero to above 40%. The volatility estimates agree closely across models at 27–28%. In the Merton fit, jumps average -0.9% with a standard deviation of 4.7% and account for about 37% of total return variance.</w:t>
      </w:r>
    </w:p>
    <w:p>
      <w:pPr>
        <w:spacing w:after="140" w:line="288"/>
        <w:jc w:val="both"/>
      </w:pPr>
      <w:r>
        <w:t xml:space="preserve">The trend-OU fit implies a half-life of 35 trading days. Combined with the current deviation of 14% above trend, this is what drives the model's bearish forecast. Two caveats apply. First, the ADF test cannot reject a unit root, so the reversion may be a statistical artefact. Second, AR(1) estimates of θ are biased upward in finite samples, which makes mean reversion look stronger than it is. Without a trend, the plain OU half-life is 116 days, which confirms that the result depends heavily on the specification.</w:t>
      </w:r>
    </w:p>
    <w:p>
      <w:pPr>
        <w:keepNext/>
        <w:spacing w:after="0" w:before="200"/>
      </w:pPr>
      <w:r>
        <w:rPr>
          <w:b/>
          <w:bCs/>
        </w:rPr>
        <w:t xml:space="preserve">Table 3</w:t>
      </w:r>
    </w:p>
    <w:p>
      <w:pPr>
        <w:keepNext/>
        <w:spacing w:after="100"/>
      </w:pPr>
      <w:r>
        <w:rPr>
          <w:i/>
          <w:iCs/>
        </w:rPr>
        <w:t xml:space="preserve">In-Sample Goodness of Fit</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840"/>
        <w:gridCol w:w="1500"/>
        <w:gridCol w:w="1800"/>
        <w:gridCol w:w="1750"/>
        <w:gridCol w:w="1750"/>
      </w:tblGrid>
      <w:tr>
        <w:trPr>
          <w:tblHeader/>
        </w:trPr>
        <w:tc>
          <w:tcPr>
            <w:tcW w:type="dxa" w:w="2840"/>
            <w:tcBorders>
              <w:top w:val="single" w:color="BFBFBF" w:sz="4"/>
              <w:left w:val="none" w:color="FFFFFF" w:sz="0"/>
              <w:bottom w:val="single" w:color="BFBFBF" w:sz="4"/>
              <w:right w:val="none" w:color="FFFFFF" w:sz="0"/>
            </w:tcBorders>
            <w:shd w:fill="E8EEF5" w:color="auto" w:val="clear"/>
            <w:tcMar>
              <w:top w:type="dxa" w:w="50"/>
              <w:left w:type="dxa" w:w="90"/>
              <w:bottom w:type="dxa" w:w="50"/>
              <w:right w:type="dxa" w:w="90"/>
            </w:tcMar>
          </w:tcPr>
          <w:p>
            <w:pPr>
              <w:keepNext/>
              <w:jc w:val="left"/>
            </w:pPr>
            <w:r>
              <w:rPr>
                <w:b/>
                <w:bCs/>
                <w:sz w:val="19"/>
                <w:szCs w:val="19"/>
              </w:rPr>
              <w:t xml:space="preserve">Model</w:t>
            </w:r>
          </w:p>
        </w:tc>
        <w:tc>
          <w:tcPr>
            <w:tcW w:type="dxa" w:w="1500"/>
            <w:tcBorders>
              <w:top w:val="single" w:color="BFBFBF" w:sz="4"/>
              <w:left w:val="none" w:color="FFFFFF" w:sz="0"/>
              <w:bottom w:val="single" w:color="BFBFBF" w:sz="4"/>
              <w:right w:val="none" w:color="FFFFFF" w:sz="0"/>
            </w:tcBorders>
            <w:shd w:fill="E8EEF5" w:color="auto" w:val="clear"/>
            <w:tcMar>
              <w:top w:type="dxa" w:w="50"/>
              <w:left w:type="dxa" w:w="90"/>
              <w:bottom w:type="dxa" w:w="50"/>
              <w:right w:type="dxa" w:w="90"/>
            </w:tcMar>
          </w:tcPr>
          <w:p>
            <w:pPr>
              <w:keepNext/>
              <w:jc w:val="right"/>
            </w:pPr>
            <w:r>
              <w:rPr>
                <w:b/>
                <w:bCs/>
                <w:sz w:val="19"/>
                <w:szCs w:val="19"/>
              </w:rPr>
              <w:t xml:space="preserve">Parameters</w:t>
            </w:r>
          </w:p>
        </w:tc>
        <w:tc>
          <w:tcPr>
            <w:tcW w:type="dxa" w:w="1800"/>
            <w:tcBorders>
              <w:top w:val="single" w:color="BFBFBF" w:sz="4"/>
              <w:left w:val="none" w:color="FFFFFF" w:sz="0"/>
              <w:bottom w:val="single" w:color="BFBFBF" w:sz="4"/>
              <w:right w:val="none" w:color="FFFFFF" w:sz="0"/>
            </w:tcBorders>
            <w:shd w:fill="E8EEF5" w:color="auto" w:val="clear"/>
            <w:tcMar>
              <w:top w:type="dxa" w:w="50"/>
              <w:left w:type="dxa" w:w="90"/>
              <w:bottom w:type="dxa" w:w="50"/>
              <w:right w:type="dxa" w:w="90"/>
            </w:tcMar>
          </w:tcPr>
          <w:p>
            <w:pPr>
              <w:keepNext/>
              <w:jc w:val="right"/>
            </w:pPr>
            <w:r>
              <w:rPr>
                <w:b/>
                <w:bCs/>
                <w:sz w:val="19"/>
                <w:szCs w:val="19"/>
              </w:rPr>
              <w:t xml:space="preserve">Log-likelihood</w:t>
            </w:r>
          </w:p>
        </w:tc>
        <w:tc>
          <w:tcPr>
            <w:tcW w:type="dxa" w:w="1750"/>
            <w:tcBorders>
              <w:top w:val="single" w:color="BFBFBF" w:sz="4"/>
              <w:left w:val="none" w:color="FFFFFF" w:sz="0"/>
              <w:bottom w:val="single" w:color="BFBFBF" w:sz="4"/>
              <w:right w:val="none" w:color="FFFFFF" w:sz="0"/>
            </w:tcBorders>
            <w:shd w:fill="E8EEF5" w:color="auto" w:val="clear"/>
            <w:tcMar>
              <w:top w:type="dxa" w:w="50"/>
              <w:left w:type="dxa" w:w="90"/>
              <w:bottom w:type="dxa" w:w="50"/>
              <w:right w:type="dxa" w:w="90"/>
            </w:tcMar>
          </w:tcPr>
          <w:p>
            <w:pPr>
              <w:keepNext/>
              <w:jc w:val="right"/>
            </w:pPr>
            <w:r>
              <w:rPr>
                <w:b/>
                <w:bCs/>
                <w:sz w:val="19"/>
                <w:szCs w:val="19"/>
              </w:rPr>
              <w:t xml:space="preserve">AIC</w:t>
            </w:r>
          </w:p>
        </w:tc>
        <w:tc>
          <w:tcPr>
            <w:tcW w:type="dxa" w:w="1750"/>
            <w:tcBorders>
              <w:top w:val="single" w:color="BFBFBF" w:sz="4"/>
              <w:left w:val="none" w:color="FFFFFF" w:sz="0"/>
              <w:bottom w:val="single" w:color="BFBFBF" w:sz="4"/>
              <w:right w:val="none" w:color="FFFFFF" w:sz="0"/>
            </w:tcBorders>
            <w:shd w:fill="E8EEF5" w:color="auto" w:val="clear"/>
            <w:tcMar>
              <w:top w:type="dxa" w:w="50"/>
              <w:left w:type="dxa" w:w="90"/>
              <w:bottom w:type="dxa" w:w="50"/>
              <w:right w:type="dxa" w:w="90"/>
            </w:tcMar>
          </w:tcPr>
          <w:p>
            <w:pPr>
              <w:keepNext/>
              <w:jc w:val="right"/>
            </w:pPr>
            <w:r>
              <w:rPr>
                <w:b/>
                <w:bCs/>
                <w:sz w:val="19"/>
                <w:szCs w:val="19"/>
              </w:rPr>
              <w:t xml:space="preserve">BIC</w:t>
            </w:r>
          </w:p>
        </w:tc>
      </w:tr>
      <w:tr>
        <w:trPr>
          <w:cantSplit/>
        </w:trPr>
        <w:tc>
          <w:tcPr>
            <w:tcW w:type="dxa" w:w="2840"/>
            <w:tcBorders>
              <w:top w:val="none" w:color="FFFFFF" w:sz="0"/>
              <w:left w:val="none" w:color="FFFFFF" w:sz="0"/>
              <w:bottom w:val="single" w:color="BFBFBF" w:sz="4"/>
              <w:right w:val="none" w:color="FFFFFF" w:sz="0"/>
            </w:tcBorders>
            <w:tcMar>
              <w:top w:type="dxa" w:w="50"/>
              <w:left w:type="dxa" w:w="90"/>
              <w:bottom w:type="dxa" w:w="50"/>
              <w:right w:type="dxa" w:w="90"/>
            </w:tcMar>
          </w:tcPr>
          <w:p>
            <w:pPr>
              <w:keepNext/>
              <w:jc w:val="left"/>
            </w:pPr>
            <w:r>
              <w:rPr>
                <w:b w:val="false"/>
                <w:bCs w:val="false"/>
                <w:sz w:val="19"/>
                <w:szCs w:val="19"/>
              </w:rPr>
              <w:t xml:space="preserve">GBM</w:t>
            </w:r>
          </w:p>
        </w:tc>
        <w:tc>
          <w:tcPr>
            <w:tcW w:type="dxa" w:w="1500"/>
            <w:tcBorders>
              <w:top w:val="none" w:color="FFFFFF" w:sz="0"/>
              <w:left w:val="none" w:color="FFFFFF" w:sz="0"/>
              <w:bottom w:val="single" w:color="BFBFBF" w:sz="4"/>
              <w:right w:val="none" w:color="FFFFFF" w:sz="0"/>
            </w:tcBorders>
            <w:tcMar>
              <w:top w:type="dxa" w:w="50"/>
              <w:left w:type="dxa" w:w="90"/>
              <w:bottom w:type="dxa" w:w="50"/>
              <w:right w:type="dxa" w:w="90"/>
            </w:tcMar>
          </w:tcPr>
          <w:p>
            <w:pPr>
              <w:keepNext/>
              <w:jc w:val="right"/>
            </w:pPr>
            <w:r>
              <w:rPr>
                <w:b w:val="false"/>
                <w:bCs w:val="false"/>
                <w:sz w:val="19"/>
                <w:szCs w:val="19"/>
              </w:rPr>
              <w:t xml:space="preserve">2</w:t>
            </w:r>
          </w:p>
        </w:tc>
        <w:tc>
          <w:tcPr>
            <w:tcW w:type="dxa" w:w="1800"/>
            <w:tcBorders>
              <w:top w:val="none" w:color="FFFFFF" w:sz="0"/>
              <w:left w:val="none" w:color="FFFFFF" w:sz="0"/>
              <w:bottom w:val="single" w:color="BFBFBF" w:sz="4"/>
              <w:right w:val="none" w:color="FFFFFF" w:sz="0"/>
            </w:tcBorders>
            <w:tcMar>
              <w:top w:type="dxa" w:w="50"/>
              <w:left w:type="dxa" w:w="90"/>
              <w:bottom w:type="dxa" w:w="50"/>
              <w:right w:type="dxa" w:w="90"/>
            </w:tcMar>
          </w:tcPr>
          <w:p>
            <w:pPr>
              <w:keepNext/>
              <w:jc w:val="right"/>
            </w:pPr>
            <w:r>
              <w:rPr>
                <w:b w:val="false"/>
                <w:bCs w:val="false"/>
                <w:sz w:val="19"/>
                <w:szCs w:val="19"/>
              </w:rPr>
              <w:t xml:space="preserve">1317.2</w:t>
            </w:r>
          </w:p>
        </w:tc>
        <w:tc>
          <w:tcPr>
            <w:tcW w:type="dxa" w:w="1750"/>
            <w:tcBorders>
              <w:top w:val="none" w:color="FFFFFF" w:sz="0"/>
              <w:left w:val="none" w:color="FFFFFF" w:sz="0"/>
              <w:bottom w:val="single" w:color="BFBFBF" w:sz="4"/>
              <w:right w:val="none" w:color="FFFFFF" w:sz="0"/>
            </w:tcBorders>
            <w:tcMar>
              <w:top w:type="dxa" w:w="50"/>
              <w:left w:type="dxa" w:w="90"/>
              <w:bottom w:type="dxa" w:w="50"/>
              <w:right w:type="dxa" w:w="90"/>
            </w:tcMar>
          </w:tcPr>
          <w:p>
            <w:pPr>
              <w:keepNext/>
              <w:jc w:val="right"/>
            </w:pPr>
            <w:r>
              <w:rPr>
                <w:b w:val="false"/>
                <w:bCs w:val="false"/>
                <w:sz w:val="19"/>
                <w:szCs w:val="19"/>
              </w:rPr>
              <w:t xml:space="preserve">-2630.5</w:t>
            </w:r>
          </w:p>
        </w:tc>
        <w:tc>
          <w:tcPr>
            <w:tcW w:type="dxa" w:w="1750"/>
            <w:tcBorders>
              <w:top w:val="none" w:color="FFFFFF" w:sz="0"/>
              <w:left w:val="none" w:color="FFFFFF" w:sz="0"/>
              <w:bottom w:val="single" w:color="BFBFBF" w:sz="4"/>
              <w:right w:val="none" w:color="FFFFFF" w:sz="0"/>
            </w:tcBorders>
            <w:tcMar>
              <w:top w:type="dxa" w:w="50"/>
              <w:left w:type="dxa" w:w="90"/>
              <w:bottom w:type="dxa" w:w="50"/>
              <w:right w:type="dxa" w:w="90"/>
            </w:tcMar>
          </w:tcPr>
          <w:p>
            <w:pPr>
              <w:keepNext/>
              <w:jc w:val="right"/>
            </w:pPr>
            <w:r>
              <w:rPr>
                <w:b w:val="false"/>
                <w:bCs w:val="false"/>
                <w:sz w:val="19"/>
                <w:szCs w:val="19"/>
              </w:rPr>
              <w:t xml:space="preserve">-2622.0</w:t>
            </w:r>
          </w:p>
        </w:tc>
      </w:tr>
      <w:tr>
        <w:trPr>
          <w:cantSplit/>
        </w:trPr>
        <w:tc>
          <w:tcPr>
            <w:tcW w:type="dxa" w:w="2840"/>
            <w:tcBorders>
              <w:top w:val="none" w:color="FFFFFF" w:sz="0"/>
              <w:left w:val="none" w:color="FFFFFF" w:sz="0"/>
              <w:bottom w:val="single" w:color="BFBFBF" w:sz="4"/>
              <w:right w:val="none" w:color="FFFFFF" w:sz="0"/>
            </w:tcBorders>
            <w:shd w:fill="F7F7F7" w:color="auto" w:val="clear"/>
            <w:tcMar>
              <w:top w:type="dxa" w:w="50"/>
              <w:left w:type="dxa" w:w="90"/>
              <w:bottom w:type="dxa" w:w="50"/>
              <w:right w:type="dxa" w:w="90"/>
            </w:tcMar>
          </w:tcPr>
          <w:p>
            <w:pPr>
              <w:keepNext/>
              <w:jc w:val="left"/>
            </w:pPr>
            <w:r>
              <w:rPr>
                <w:b w:val="false"/>
                <w:bCs w:val="false"/>
                <w:sz w:val="19"/>
                <w:szCs w:val="19"/>
              </w:rPr>
              <w:t xml:space="preserve">OU (trend)</w:t>
            </w:r>
          </w:p>
        </w:tc>
        <w:tc>
          <w:tcPr>
            <w:tcW w:type="dxa" w:w="1500"/>
            <w:tcBorders>
              <w:top w:val="none" w:color="FFFFFF" w:sz="0"/>
              <w:left w:val="none" w:color="FFFFFF" w:sz="0"/>
              <w:bottom w:val="single" w:color="BFBFBF" w:sz="4"/>
              <w:right w:val="none" w:color="FFFFFF" w:sz="0"/>
            </w:tcBorders>
            <w:shd w:fill="F7F7F7" w:color="auto" w:val="clear"/>
            <w:tcMar>
              <w:top w:type="dxa" w:w="50"/>
              <w:left w:type="dxa" w:w="90"/>
              <w:bottom w:type="dxa" w:w="50"/>
              <w:right w:type="dxa" w:w="90"/>
            </w:tcMar>
          </w:tcPr>
          <w:p>
            <w:pPr>
              <w:keepNext/>
              <w:jc w:val="right"/>
            </w:pPr>
            <w:r>
              <w:rPr>
                <w:b w:val="false"/>
                <w:bCs w:val="false"/>
                <w:sz w:val="19"/>
                <w:szCs w:val="19"/>
              </w:rPr>
              <w:t xml:space="preserve">4</w:t>
            </w:r>
          </w:p>
        </w:tc>
        <w:tc>
          <w:tcPr>
            <w:tcW w:type="dxa" w:w="1800"/>
            <w:tcBorders>
              <w:top w:val="none" w:color="FFFFFF" w:sz="0"/>
              <w:left w:val="none" w:color="FFFFFF" w:sz="0"/>
              <w:bottom w:val="single" w:color="BFBFBF" w:sz="4"/>
              <w:right w:val="none" w:color="FFFFFF" w:sz="0"/>
            </w:tcBorders>
            <w:shd w:fill="F7F7F7" w:color="auto" w:val="clear"/>
            <w:tcMar>
              <w:top w:type="dxa" w:w="50"/>
              <w:left w:type="dxa" w:w="90"/>
              <w:bottom w:type="dxa" w:w="50"/>
              <w:right w:type="dxa" w:w="90"/>
            </w:tcMar>
          </w:tcPr>
          <w:p>
            <w:pPr>
              <w:keepNext/>
              <w:jc w:val="right"/>
            </w:pPr>
            <w:r>
              <w:rPr>
                <w:b w:val="false"/>
                <w:bCs w:val="false"/>
                <w:sz w:val="19"/>
                <w:szCs w:val="19"/>
              </w:rPr>
              <w:t xml:space="preserve">1319.6</w:t>
            </w:r>
          </w:p>
        </w:tc>
        <w:tc>
          <w:tcPr>
            <w:tcW w:type="dxa" w:w="1750"/>
            <w:tcBorders>
              <w:top w:val="none" w:color="FFFFFF" w:sz="0"/>
              <w:left w:val="none" w:color="FFFFFF" w:sz="0"/>
              <w:bottom w:val="single" w:color="BFBFBF" w:sz="4"/>
              <w:right w:val="none" w:color="FFFFFF" w:sz="0"/>
            </w:tcBorders>
            <w:shd w:fill="F7F7F7" w:color="auto" w:val="clear"/>
            <w:tcMar>
              <w:top w:type="dxa" w:w="50"/>
              <w:left w:type="dxa" w:w="90"/>
              <w:bottom w:type="dxa" w:w="50"/>
              <w:right w:type="dxa" w:w="90"/>
            </w:tcMar>
          </w:tcPr>
          <w:p>
            <w:pPr>
              <w:keepNext/>
              <w:jc w:val="right"/>
            </w:pPr>
            <w:r>
              <w:rPr>
                <w:b w:val="false"/>
                <w:bCs w:val="false"/>
                <w:sz w:val="19"/>
                <w:szCs w:val="19"/>
              </w:rPr>
              <w:t xml:space="preserve">-2631.2</w:t>
            </w:r>
          </w:p>
        </w:tc>
        <w:tc>
          <w:tcPr>
            <w:tcW w:type="dxa" w:w="1750"/>
            <w:tcBorders>
              <w:top w:val="none" w:color="FFFFFF" w:sz="0"/>
              <w:left w:val="none" w:color="FFFFFF" w:sz="0"/>
              <w:bottom w:val="single" w:color="BFBFBF" w:sz="4"/>
              <w:right w:val="none" w:color="FFFFFF" w:sz="0"/>
            </w:tcBorders>
            <w:shd w:fill="F7F7F7" w:color="auto" w:val="clear"/>
            <w:tcMar>
              <w:top w:type="dxa" w:w="50"/>
              <w:left w:type="dxa" w:w="90"/>
              <w:bottom w:type="dxa" w:w="50"/>
              <w:right w:type="dxa" w:w="90"/>
            </w:tcMar>
          </w:tcPr>
          <w:p>
            <w:pPr>
              <w:keepNext/>
              <w:jc w:val="right"/>
            </w:pPr>
            <w:r>
              <w:rPr>
                <w:b w:val="false"/>
                <w:bCs w:val="false"/>
                <w:sz w:val="19"/>
                <w:szCs w:val="19"/>
              </w:rPr>
              <w:t xml:space="preserve">-2614.3</w:t>
            </w:r>
          </w:p>
        </w:tc>
      </w:tr>
      <w:tr>
        <w:trPr>
          <w:cantSplit/>
        </w:trPr>
        <w:tc>
          <w:tcPr>
            <w:tcW w:type="dxa" w:w="2840"/>
            <w:tcBorders>
              <w:top w:val="none" w:color="FFFFFF" w:sz="0"/>
              <w:left w:val="none" w:color="FFFFFF" w:sz="0"/>
              <w:bottom w:val="single" w:color="BFBFBF" w:sz="4"/>
              <w:right w:val="none" w:color="FFFFFF" w:sz="0"/>
            </w:tcBorders>
            <w:tcMar>
              <w:top w:type="dxa" w:w="50"/>
              <w:left w:type="dxa" w:w="90"/>
              <w:bottom w:type="dxa" w:w="50"/>
              <w:right w:type="dxa" w:w="90"/>
            </w:tcMar>
          </w:tcPr>
          <w:p>
            <w:pPr>
              <w:keepNext w:val="false"/>
              <w:jc w:val="left"/>
            </w:pPr>
            <w:r>
              <w:rPr>
                <w:b w:val="false"/>
                <w:bCs w:val="false"/>
                <w:sz w:val="19"/>
                <w:szCs w:val="19"/>
              </w:rPr>
              <w:t xml:space="preserve">Merton JD</w:t>
            </w:r>
          </w:p>
        </w:tc>
        <w:tc>
          <w:tcPr>
            <w:tcW w:type="dxa" w:w="1500"/>
            <w:tcBorders>
              <w:top w:val="none" w:color="FFFFFF" w:sz="0"/>
              <w:left w:val="none" w:color="FFFFFF" w:sz="0"/>
              <w:bottom w:val="single" w:color="BFBFBF" w:sz="4"/>
              <w:right w:val="none" w:color="FFFFFF" w:sz="0"/>
            </w:tcBorders>
            <w:tcMar>
              <w:top w:type="dxa" w:w="50"/>
              <w:left w:type="dxa" w:w="90"/>
              <w:bottom w:type="dxa" w:w="50"/>
              <w:right w:type="dxa" w:w="90"/>
            </w:tcMar>
          </w:tcPr>
          <w:p>
            <w:pPr>
              <w:keepNext w:val="false"/>
              <w:jc w:val="right"/>
            </w:pPr>
            <w:r>
              <w:rPr>
                <w:b w:val="false"/>
                <w:bCs w:val="false"/>
                <w:sz w:val="19"/>
                <w:szCs w:val="19"/>
              </w:rPr>
              <w:t xml:space="preserve">5</w:t>
            </w:r>
          </w:p>
        </w:tc>
        <w:tc>
          <w:tcPr>
            <w:tcW w:type="dxa" w:w="1800"/>
            <w:tcBorders>
              <w:top w:val="none" w:color="FFFFFF" w:sz="0"/>
              <w:left w:val="none" w:color="FFFFFF" w:sz="0"/>
              <w:bottom w:val="single" w:color="BFBFBF" w:sz="4"/>
              <w:right w:val="none" w:color="FFFFFF" w:sz="0"/>
            </w:tcBorders>
            <w:tcMar>
              <w:top w:type="dxa" w:w="50"/>
              <w:left w:type="dxa" w:w="90"/>
              <w:bottom w:type="dxa" w:w="50"/>
              <w:right w:type="dxa" w:w="90"/>
            </w:tcMar>
          </w:tcPr>
          <w:p>
            <w:pPr>
              <w:keepNext w:val="false"/>
              <w:jc w:val="right"/>
            </w:pPr>
            <w:r>
              <w:rPr>
                <w:b w:val="false"/>
                <w:bCs w:val="false"/>
                <w:sz w:val="19"/>
                <w:szCs w:val="19"/>
              </w:rPr>
              <w:t xml:space="preserve">1370.2</w:t>
            </w:r>
          </w:p>
        </w:tc>
        <w:tc>
          <w:tcPr>
            <w:tcW w:type="dxa" w:w="1750"/>
            <w:tcBorders>
              <w:top w:val="none" w:color="FFFFFF" w:sz="0"/>
              <w:left w:val="none" w:color="FFFFFF" w:sz="0"/>
              <w:bottom w:val="single" w:color="BFBFBF" w:sz="4"/>
              <w:right w:val="none" w:color="FFFFFF" w:sz="0"/>
            </w:tcBorders>
            <w:tcMar>
              <w:top w:type="dxa" w:w="50"/>
              <w:left w:type="dxa" w:w="90"/>
              <w:bottom w:type="dxa" w:w="50"/>
              <w:right w:type="dxa" w:w="90"/>
            </w:tcMar>
          </w:tcPr>
          <w:p>
            <w:pPr>
              <w:keepNext w:val="false"/>
              <w:jc w:val="right"/>
            </w:pPr>
            <w:r>
              <w:rPr>
                <w:b w:val="false"/>
                <w:bCs w:val="false"/>
                <w:sz w:val="19"/>
                <w:szCs w:val="19"/>
              </w:rPr>
              <w:t xml:space="preserve">-2730.4</w:t>
            </w:r>
          </w:p>
        </w:tc>
        <w:tc>
          <w:tcPr>
            <w:tcW w:type="dxa" w:w="1750"/>
            <w:tcBorders>
              <w:top w:val="none" w:color="FFFFFF" w:sz="0"/>
              <w:left w:val="none" w:color="FFFFFF" w:sz="0"/>
              <w:bottom w:val="single" w:color="BFBFBF" w:sz="4"/>
              <w:right w:val="none" w:color="FFFFFF" w:sz="0"/>
            </w:tcBorders>
            <w:tcMar>
              <w:top w:type="dxa" w:w="50"/>
              <w:left w:type="dxa" w:w="90"/>
              <w:bottom w:type="dxa" w:w="50"/>
              <w:right w:type="dxa" w:w="90"/>
            </w:tcMar>
          </w:tcPr>
          <w:p>
            <w:pPr>
              <w:keepNext w:val="false"/>
              <w:jc w:val="right"/>
            </w:pPr>
            <w:r>
              <w:rPr>
                <w:b w:val="false"/>
                <w:bCs w:val="false"/>
                <w:sz w:val="19"/>
                <w:szCs w:val="19"/>
              </w:rPr>
              <w:t xml:space="preserve">-2709.3</w:t>
            </w:r>
          </w:p>
        </w:tc>
      </w:tr>
    </w:tbl>
    <w:p>
      <w:pPr>
        <w:spacing w:after="220" w:before="60"/>
      </w:pPr>
      <w:r>
        <w:rPr>
          <w:i/>
          <w:iCs/>
          <w:color w:val="595959"/>
          <w:sz w:val="19"/>
          <w:szCs w:val="19"/>
        </w:rPr>
        <w:t xml:space="preserve">Note. </w:t>
      </w:r>
      <w:r>
        <w:rPr>
          <w:color w:val="595959"/>
          <w:sz w:val="19"/>
          <w:szCs w:val="19"/>
        </w:rPr>
        <w:t xml:space="preserve">Lower AIC/BIC is better. All likelihoods are for the same 504 one-day transitions and are directly comparable.</w:t>
      </w:r>
    </w:p>
    <w:p>
      <w:pPr>
        <w:spacing w:after="140" w:line="288"/>
        <w:jc w:val="both"/>
      </w:pPr>
      <w:r>
        <w:t xml:space="preserve">Merton jump-diffusion is clearly the best in-sample fit: its AIC is 100 points lower than GBM's, and a difference above 10 is considered decisive. The trend-OU model barely improves on GBM (ΔAIC = 0.7), and BIC, which penalises extra parameters more heavily, prefers GBM to OU. On daily data, mean reversion explains almost nothing; its effect matters only at longer horizons, where it is hardest to verify.</w:t>
      </w:r>
    </w:p>
    <w:p>
      <w:pPr>
        <w:pStyle w:val="Heading1"/>
      </w:pPr>
      <w:r>
        <w:t xml:space="preserve">4. Simulation Results</w:t>
      </w:r>
    </w:p>
    <w:p>
      <w:pPr>
        <w:spacing w:after="140" w:line="288"/>
        <w:jc w:val="both"/>
      </w:pPr>
      <w:r>
        <w:t xml:space="preserve">All simulations start from the last observed close, S(0) = $316.15 on 13 July 2026. Figure 3 shows a sample of paths for each model with the mean and median trajectories and the 50% and 90% intervals. Figure 4 overlays the three forecasts, and Figure 5 shows the full distribution of simulated prices at each horizon.</w:t>
      </w:r>
    </w:p>
    <w:p>
      <w:pPr>
        <w:keepNext/>
        <w:spacing w:after="0" w:before="200"/>
      </w:pPr>
      <w:r>
        <w:rPr>
          <w:b/>
          <w:bCs/>
        </w:rPr>
        <w:t xml:space="preserve">Figure 3</w:t>
      </w:r>
    </w:p>
    <w:p>
      <w:pPr>
        <w:keepNext/>
        <w:spacing w:after="100"/>
      </w:pPr>
      <w:r>
        <w:rPr>
          <w:i/>
          <w:iCs/>
        </w:rPr>
        <w:t xml:space="preserve">Simulated 180-Day Price Paths by Model</w:t>
      </w:r>
    </w:p>
    <w:p>
      <w:pPr>
        <w:keepNext/>
        <w:jc w:val="center"/>
      </w:pPr>
      <w:r>
        <w:drawing>
          <wp:inline distT="0" distB="0" distL="0" distR="0">
            <wp:extent cx="5852160" cy="2299063"/>
            <wp:effectExtent t="0" r="0" b="0" l="0"/>
            <wp:docPr id="1" name="fig3_sample_paths.png" descr="Simulated 180-Day Price Paths by Model"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852160" cy="2299063"/>
                    </a:xfrm>
                    <a:prstGeom prst="rect">
                      <a:avLst/>
                    </a:prstGeom>
                  </pic:spPr>
                </pic:pic>
              </a:graphicData>
            </a:graphic>
          </wp:inline>
        </w:drawing>
      </w:r>
    </w:p>
    <w:p>
      <w:pPr>
        <w:spacing w:after="220" w:before="60"/>
      </w:pPr>
      <w:r>
        <w:rPr>
          <w:i/>
          <w:iCs/>
          <w:color w:val="595959"/>
          <w:sz w:val="19"/>
          <w:szCs w:val="19"/>
        </w:rPr>
        <w:t xml:space="preserve">Note. </w:t>
      </w:r>
      <w:r>
        <w:rPr>
          <w:color w:val="595959"/>
          <w:sz w:val="19"/>
          <w:szCs w:val="19"/>
        </w:rPr>
        <w:t xml:space="preserve">Each panel shows 100 of the 10,000 simulated paths, the mean (solid black) and median (dashed) trajectories, and the 50% and 90% intervals, after the last six months of observed prices. The y-axis is shared across panels.</w:t>
      </w:r>
    </w:p>
    <w:p>
      <w:pPr>
        <w:keepNext/>
        <w:spacing w:after="0" w:before="200"/>
      </w:pPr>
      <w:r>
        <w:rPr>
          <w:b/>
          <w:bCs/>
        </w:rPr>
        <w:t xml:space="preserve">Figure 4</w:t>
      </w:r>
    </w:p>
    <w:p>
      <w:pPr>
        <w:keepNext/>
        <w:spacing w:after="100"/>
      </w:pPr>
      <w:r>
        <w:rPr>
          <w:i/>
          <w:iCs/>
        </w:rPr>
        <w:t xml:space="preserve">Median Forecast and 90% Interval for the Three Models</w:t>
      </w:r>
    </w:p>
    <w:p>
      <w:pPr>
        <w:keepNext/>
        <w:jc w:val="center"/>
      </w:pPr>
      <w:r>
        <w:drawing>
          <wp:inline distT="0" distB="0" distL="0" distR="0">
            <wp:extent cx="5852160" cy="3125414"/>
            <wp:effectExtent t="0" r="0" b="0" l="0"/>
            <wp:docPr id="1" name="fig4_model_comparison_fan.png" descr="Median Forecast and 90% Interval for the Three Models"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852160" cy="3125414"/>
                    </a:xfrm>
                    <a:prstGeom prst="rect">
                      <a:avLst/>
                    </a:prstGeom>
                  </pic:spPr>
                </pic:pic>
              </a:graphicData>
            </a:graphic>
          </wp:inline>
        </w:drawing>
      </w:r>
    </w:p>
    <w:p>
      <w:pPr>
        <w:spacing w:after="220" w:before="60"/>
      </w:pPr>
      <w:r>
        <w:rPr>
          <w:i/>
          <w:iCs/>
          <w:color w:val="595959"/>
          <w:sz w:val="19"/>
          <w:szCs w:val="19"/>
        </w:rPr>
        <w:t xml:space="preserve">Note. </w:t>
      </w:r>
      <w:r>
        <w:rPr>
          <w:color w:val="595959"/>
          <w:sz w:val="19"/>
          <w:szCs w:val="19"/>
        </w:rPr>
        <w:t xml:space="preserve">Solid lines are medians; dotted lines are the 5th and 95th percentiles. GBM and Merton nearly coincide. The OU forecast is pulled toward the trend line and has a much narrower interval.</w:t>
      </w:r>
    </w:p>
    <w:p>
      <w:pPr>
        <w:keepNext/>
        <w:spacing w:after="0" w:before="200"/>
      </w:pPr>
      <w:r>
        <w:rPr>
          <w:b/>
          <w:bCs/>
        </w:rPr>
        <w:t xml:space="preserve">Figure 5</w:t>
      </w:r>
    </w:p>
    <w:p>
      <w:pPr>
        <w:keepNext/>
        <w:spacing w:after="100"/>
      </w:pPr>
      <w:r>
        <w:rPr>
          <w:i/>
          <w:iCs/>
        </w:rPr>
        <w:t xml:space="preserve">Distribution of Simulated Prices at 30, 60 and 180 Trading Days</w:t>
      </w:r>
    </w:p>
    <w:p>
      <w:pPr>
        <w:keepNext/>
        <w:jc w:val="center"/>
      </w:pPr>
      <w:r>
        <w:drawing>
          <wp:inline distT="0" distB="0" distL="0" distR="0">
            <wp:extent cx="5852160" cy="2378047"/>
            <wp:effectExtent t="0" r="0" b="0" l="0"/>
            <wp:docPr id="1" name="fig5_terminal_histograms.png" descr="Distribution of Simulated Prices at 30, 60 and 180 Trading Days"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852160" cy="2378047"/>
                    </a:xfrm>
                    <a:prstGeom prst="rect">
                      <a:avLst/>
                    </a:prstGeom>
                  </pic:spPr>
                </pic:pic>
              </a:graphicData>
            </a:graphic>
          </wp:inline>
        </w:drawing>
      </w:r>
    </w:p>
    <w:p>
      <w:pPr>
        <w:spacing w:after="220" w:before="60"/>
      </w:pPr>
      <w:r>
        <w:rPr>
          <w:i/>
          <w:iCs/>
          <w:color w:val="595959"/>
          <w:sz w:val="19"/>
          <w:szCs w:val="19"/>
        </w:rPr>
        <w:t xml:space="preserve">Note. </w:t>
      </w:r>
      <w:r>
        <w:rPr>
          <w:color w:val="595959"/>
          <w:sz w:val="19"/>
          <w:szCs w:val="19"/>
        </w:rPr>
        <w:t xml:space="preserve">The dashed line marks today's price. GBM and Merton distributions are right-skewed (log-normal-like) and widen with the horizon. The OU distribution stops widening once mean reversion dominates.</w:t>
      </w:r>
    </w:p>
    <w:p>
      <w:pPr>
        <w:keepNext/>
        <w:spacing w:after="0" w:before="200"/>
      </w:pPr>
      <w:r>
        <w:rPr>
          <w:b/>
          <w:bCs/>
        </w:rPr>
        <w:t xml:space="preserve">Table 4</w:t>
      </w:r>
    </w:p>
    <w:p>
      <w:pPr>
        <w:keepNext/>
        <w:spacing w:after="100"/>
      </w:pPr>
      <w:r>
        <w:rPr>
          <w:i/>
          <w:iCs/>
        </w:rPr>
        <w:t xml:space="preserve">Simulated Price Distribution and Risk Metrics by Model and Horizon (10,000 Paths)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150"/>
        <w:gridCol w:w="560"/>
        <w:gridCol w:w="880"/>
        <w:gridCol w:w="880"/>
        <w:gridCol w:w="1150"/>
        <w:gridCol w:w="900"/>
        <w:gridCol w:w="850"/>
        <w:gridCol w:w="1100"/>
        <w:gridCol w:w="1050"/>
        <w:gridCol w:w="1120"/>
      </w:tblGrid>
      <w:tr>
        <w:trPr>
          <w:tblHeader/>
        </w:trPr>
        <w:tc>
          <w:tcPr>
            <w:tcW w:type="dxa" w:w="1150"/>
            <w:tcBorders>
              <w:top w:val="single" w:color="BFBFBF" w:sz="4"/>
              <w:left w:val="none" w:color="FFFFFF" w:sz="0"/>
              <w:bottom w:val="single" w:color="BFBFBF" w:sz="4"/>
              <w:right w:val="none" w:color="FFFFFF" w:sz="0"/>
            </w:tcBorders>
            <w:shd w:fill="E8EEF5" w:color="auto" w:val="clear"/>
            <w:tcMar>
              <w:top w:type="dxa" w:w="50"/>
              <w:left w:type="dxa" w:w="90"/>
              <w:bottom w:type="dxa" w:w="50"/>
              <w:right w:type="dxa" w:w="90"/>
            </w:tcMar>
          </w:tcPr>
          <w:p>
            <w:pPr>
              <w:keepNext/>
              <w:jc w:val="left"/>
            </w:pPr>
            <w:r>
              <w:rPr>
                <w:b/>
                <w:bCs/>
                <w:sz w:val="19"/>
                <w:szCs w:val="19"/>
              </w:rPr>
              <w:t xml:space="preserve">Model</w:t>
            </w:r>
          </w:p>
        </w:tc>
        <w:tc>
          <w:tcPr>
            <w:tcW w:type="dxa" w:w="560"/>
            <w:tcBorders>
              <w:top w:val="single" w:color="BFBFBF" w:sz="4"/>
              <w:left w:val="none" w:color="FFFFFF" w:sz="0"/>
              <w:bottom w:val="single" w:color="BFBFBF" w:sz="4"/>
              <w:right w:val="none" w:color="FFFFFF" w:sz="0"/>
            </w:tcBorders>
            <w:shd w:fill="E8EEF5" w:color="auto" w:val="clear"/>
            <w:tcMar>
              <w:top w:type="dxa" w:w="50"/>
              <w:left w:type="dxa" w:w="90"/>
              <w:bottom w:type="dxa" w:w="50"/>
              <w:right w:type="dxa" w:w="90"/>
            </w:tcMar>
          </w:tcPr>
          <w:p>
            <w:pPr>
              <w:keepNext/>
              <w:jc w:val="right"/>
            </w:pPr>
            <w:r>
              <w:rPr>
                <w:b/>
                <w:bCs/>
                <w:sz w:val="19"/>
                <w:szCs w:val="19"/>
              </w:rPr>
              <w:t xml:space="preserve">Days</w:t>
            </w:r>
          </w:p>
        </w:tc>
        <w:tc>
          <w:tcPr>
            <w:tcW w:type="dxa" w:w="880"/>
            <w:tcBorders>
              <w:top w:val="single" w:color="BFBFBF" w:sz="4"/>
              <w:left w:val="none" w:color="FFFFFF" w:sz="0"/>
              <w:bottom w:val="single" w:color="BFBFBF" w:sz="4"/>
              <w:right w:val="none" w:color="FFFFFF" w:sz="0"/>
            </w:tcBorders>
            <w:shd w:fill="E8EEF5" w:color="auto" w:val="clear"/>
            <w:tcMar>
              <w:top w:type="dxa" w:w="50"/>
              <w:left w:type="dxa" w:w="90"/>
              <w:bottom w:type="dxa" w:w="50"/>
              <w:right w:type="dxa" w:w="90"/>
            </w:tcMar>
          </w:tcPr>
          <w:p>
            <w:pPr>
              <w:keepNext/>
              <w:jc w:val="right"/>
            </w:pPr>
            <w:r>
              <w:rPr>
                <w:b/>
                <w:bCs/>
                <w:sz w:val="19"/>
                <w:szCs w:val="19"/>
              </w:rPr>
              <w:t xml:space="preserve">Mean</w:t>
            </w:r>
          </w:p>
        </w:tc>
        <w:tc>
          <w:tcPr>
            <w:tcW w:type="dxa" w:w="880"/>
            <w:tcBorders>
              <w:top w:val="single" w:color="BFBFBF" w:sz="4"/>
              <w:left w:val="none" w:color="FFFFFF" w:sz="0"/>
              <w:bottom w:val="single" w:color="BFBFBF" w:sz="4"/>
              <w:right w:val="none" w:color="FFFFFF" w:sz="0"/>
            </w:tcBorders>
            <w:shd w:fill="E8EEF5" w:color="auto" w:val="clear"/>
            <w:tcMar>
              <w:top w:type="dxa" w:w="50"/>
              <w:left w:type="dxa" w:w="90"/>
              <w:bottom w:type="dxa" w:w="50"/>
              <w:right w:type="dxa" w:w="90"/>
            </w:tcMar>
          </w:tcPr>
          <w:p>
            <w:pPr>
              <w:keepNext/>
              <w:jc w:val="right"/>
            </w:pPr>
            <w:r>
              <w:rPr>
                <w:b/>
                <w:bCs/>
                <w:sz w:val="19"/>
                <w:szCs w:val="19"/>
              </w:rPr>
              <w:t xml:space="preserve">Median</w:t>
            </w:r>
          </w:p>
        </w:tc>
        <w:tc>
          <w:tcPr>
            <w:tcW w:type="dxa" w:w="1150"/>
            <w:tcBorders>
              <w:top w:val="single" w:color="BFBFBF" w:sz="4"/>
              <w:left w:val="none" w:color="FFFFFF" w:sz="0"/>
              <w:bottom w:val="single" w:color="BFBFBF" w:sz="4"/>
              <w:right w:val="none" w:color="FFFFFF" w:sz="0"/>
            </w:tcBorders>
            <w:shd w:fill="E8EEF5" w:color="auto" w:val="clear"/>
            <w:tcMar>
              <w:top w:type="dxa" w:w="50"/>
              <w:left w:type="dxa" w:w="90"/>
              <w:bottom w:type="dxa" w:w="50"/>
              <w:right w:type="dxa" w:w="90"/>
            </w:tcMar>
          </w:tcPr>
          <w:p>
            <w:pPr>
              <w:keepNext/>
              <w:jc w:val="right"/>
            </w:pPr>
            <w:r>
              <w:rPr>
                <w:b/>
                <w:bCs/>
                <w:sz w:val="19"/>
                <w:szCs w:val="19"/>
              </w:rPr>
              <w:t xml:space="preserve">90% interval</w:t>
            </w:r>
          </w:p>
        </w:tc>
        <w:tc>
          <w:tcPr>
            <w:tcW w:type="dxa" w:w="900"/>
            <w:tcBorders>
              <w:top w:val="single" w:color="BFBFBF" w:sz="4"/>
              <w:left w:val="none" w:color="FFFFFF" w:sz="0"/>
              <w:bottom w:val="single" w:color="BFBFBF" w:sz="4"/>
              <w:right w:val="none" w:color="FFFFFF" w:sz="0"/>
            </w:tcBorders>
            <w:shd w:fill="E8EEF5" w:color="auto" w:val="clear"/>
            <w:tcMar>
              <w:top w:type="dxa" w:w="50"/>
              <w:left w:type="dxa" w:w="90"/>
              <w:bottom w:type="dxa" w:w="50"/>
              <w:right w:type="dxa" w:w="90"/>
            </w:tcMar>
          </w:tcPr>
          <w:p>
            <w:pPr>
              <w:keepNext/>
              <w:jc w:val="right"/>
            </w:pPr>
            <w:r>
              <w:rPr>
                <w:b/>
                <w:bCs/>
                <w:sz w:val="19"/>
                <w:szCs w:val="19"/>
              </w:rPr>
              <w:t xml:space="preserve">E[return]</w:t>
            </w:r>
          </w:p>
        </w:tc>
        <w:tc>
          <w:tcPr>
            <w:tcW w:type="dxa" w:w="850"/>
            <w:tcBorders>
              <w:top w:val="single" w:color="BFBFBF" w:sz="4"/>
              <w:left w:val="none" w:color="FFFFFF" w:sz="0"/>
              <w:bottom w:val="single" w:color="BFBFBF" w:sz="4"/>
              <w:right w:val="none" w:color="FFFFFF" w:sz="0"/>
            </w:tcBorders>
            <w:shd w:fill="E8EEF5" w:color="auto" w:val="clear"/>
            <w:tcMar>
              <w:top w:type="dxa" w:w="50"/>
              <w:left w:type="dxa" w:w="90"/>
              <w:bottom w:type="dxa" w:w="50"/>
              <w:right w:type="dxa" w:w="90"/>
            </w:tcMar>
          </w:tcPr>
          <w:p>
            <w:pPr>
              <w:keepNext/>
              <w:jc w:val="right"/>
            </w:pPr>
            <w:r>
              <w:rPr>
                <w:b/>
                <w:bCs/>
                <w:sz w:val="19"/>
                <w:szCs w:val="19"/>
              </w:rPr>
              <w:t xml:space="preserve">P(loss)</w:t>
            </w:r>
          </w:p>
        </w:tc>
        <w:tc>
          <w:tcPr>
            <w:tcW w:type="dxa" w:w="1100"/>
            <w:tcBorders>
              <w:top w:val="single" w:color="BFBFBF" w:sz="4"/>
              <w:left w:val="none" w:color="FFFFFF" w:sz="0"/>
              <w:bottom w:val="single" w:color="BFBFBF" w:sz="4"/>
              <w:right w:val="none" w:color="FFFFFF" w:sz="0"/>
            </w:tcBorders>
            <w:shd w:fill="E8EEF5" w:color="auto" w:val="clear"/>
            <w:tcMar>
              <w:top w:type="dxa" w:w="50"/>
              <w:left w:type="dxa" w:w="90"/>
              <w:bottom w:type="dxa" w:w="50"/>
              <w:right w:type="dxa" w:w="90"/>
            </w:tcMar>
          </w:tcPr>
          <w:p>
            <w:pPr>
              <w:keepNext/>
              <w:jc w:val="right"/>
            </w:pPr>
            <w:r>
              <w:rPr>
                <w:b/>
                <w:bCs/>
                <w:sz w:val="19"/>
                <w:szCs w:val="19"/>
              </w:rPr>
              <w:t xml:space="preserve">P(loss &gt;10%)</w:t>
            </w:r>
          </w:p>
        </w:tc>
        <w:tc>
          <w:tcPr>
            <w:tcW w:type="dxa" w:w="1050"/>
            <w:tcBorders>
              <w:top w:val="single" w:color="BFBFBF" w:sz="4"/>
              <w:left w:val="none" w:color="FFFFFF" w:sz="0"/>
              <w:bottom w:val="single" w:color="BFBFBF" w:sz="4"/>
              <w:right w:val="none" w:color="FFFFFF" w:sz="0"/>
            </w:tcBorders>
            <w:shd w:fill="E8EEF5" w:color="auto" w:val="clear"/>
            <w:tcMar>
              <w:top w:type="dxa" w:w="50"/>
              <w:left w:type="dxa" w:w="90"/>
              <w:bottom w:type="dxa" w:w="50"/>
              <w:right w:type="dxa" w:w="90"/>
            </w:tcMar>
          </w:tcPr>
          <w:p>
            <w:pPr>
              <w:keepNext/>
              <w:jc w:val="right"/>
            </w:pPr>
            <w:r>
              <w:rPr>
                <w:b/>
                <w:bCs/>
                <w:sz w:val="19"/>
                <w:szCs w:val="19"/>
              </w:rPr>
              <w:t xml:space="preserve">VaR 95%</w:t>
            </w:r>
          </w:p>
        </w:tc>
        <w:tc>
          <w:tcPr>
            <w:tcW w:type="dxa" w:w="1120"/>
            <w:tcBorders>
              <w:top w:val="single" w:color="BFBFBF" w:sz="4"/>
              <w:left w:val="none" w:color="FFFFFF" w:sz="0"/>
              <w:bottom w:val="single" w:color="BFBFBF" w:sz="4"/>
              <w:right w:val="none" w:color="FFFFFF" w:sz="0"/>
            </w:tcBorders>
            <w:shd w:fill="E8EEF5" w:color="auto" w:val="clear"/>
            <w:tcMar>
              <w:top w:type="dxa" w:w="50"/>
              <w:left w:type="dxa" w:w="90"/>
              <w:bottom w:type="dxa" w:w="50"/>
              <w:right w:type="dxa" w:w="90"/>
            </w:tcMar>
          </w:tcPr>
          <w:p>
            <w:pPr>
              <w:keepNext/>
              <w:jc w:val="right"/>
            </w:pPr>
            <w:r>
              <w:rPr>
                <w:b/>
                <w:bCs/>
                <w:sz w:val="19"/>
                <w:szCs w:val="19"/>
              </w:rPr>
              <w:t xml:space="preserve">CVaR 95%</w:t>
            </w:r>
          </w:p>
        </w:tc>
      </w:tr>
      <w:tr>
        <w:trPr>
          <w:cantSplit/>
        </w:trPr>
        <w:tc>
          <w:tcPr>
            <w:tcW w:type="dxa" w:w="1150"/>
            <w:tcBorders>
              <w:top w:val="none" w:color="FFFFFF" w:sz="0"/>
              <w:left w:val="none" w:color="FFFFFF" w:sz="0"/>
              <w:bottom w:val="single" w:color="BFBFBF" w:sz="4"/>
              <w:right w:val="none" w:color="FFFFFF" w:sz="0"/>
            </w:tcBorders>
            <w:tcMar>
              <w:top w:type="dxa" w:w="50"/>
              <w:left w:type="dxa" w:w="90"/>
              <w:bottom w:type="dxa" w:w="50"/>
              <w:right w:type="dxa" w:w="90"/>
            </w:tcMar>
          </w:tcPr>
          <w:p>
            <w:pPr>
              <w:keepNext/>
              <w:jc w:val="left"/>
            </w:pPr>
            <w:r>
              <w:rPr>
                <w:b w:val="false"/>
                <w:bCs w:val="false"/>
                <w:sz w:val="19"/>
                <w:szCs w:val="19"/>
              </w:rPr>
              <w:t xml:space="preserve">GBM</w:t>
            </w:r>
          </w:p>
        </w:tc>
        <w:tc>
          <w:tcPr>
            <w:tcW w:type="dxa" w:w="560"/>
            <w:tcBorders>
              <w:top w:val="none" w:color="FFFFFF" w:sz="0"/>
              <w:left w:val="none" w:color="FFFFFF" w:sz="0"/>
              <w:bottom w:val="single" w:color="BFBFBF" w:sz="4"/>
              <w:right w:val="none" w:color="FFFFFF" w:sz="0"/>
            </w:tcBorders>
            <w:tcMar>
              <w:top w:type="dxa" w:w="50"/>
              <w:left w:type="dxa" w:w="90"/>
              <w:bottom w:type="dxa" w:w="50"/>
              <w:right w:type="dxa" w:w="90"/>
            </w:tcMar>
          </w:tcPr>
          <w:p>
            <w:pPr>
              <w:keepNext/>
              <w:jc w:val="right"/>
            </w:pPr>
            <w:r>
              <w:rPr>
                <w:b w:val="false"/>
                <w:bCs w:val="false"/>
                <w:sz w:val="19"/>
                <w:szCs w:val="19"/>
              </w:rPr>
              <w:t xml:space="preserve">30</w:t>
            </w:r>
          </w:p>
        </w:tc>
        <w:tc>
          <w:tcPr>
            <w:tcW w:type="dxa" w:w="880"/>
            <w:tcBorders>
              <w:top w:val="none" w:color="FFFFFF" w:sz="0"/>
              <w:left w:val="none" w:color="FFFFFF" w:sz="0"/>
              <w:bottom w:val="single" w:color="BFBFBF" w:sz="4"/>
              <w:right w:val="none" w:color="FFFFFF" w:sz="0"/>
            </w:tcBorders>
            <w:tcMar>
              <w:top w:type="dxa" w:w="50"/>
              <w:left w:type="dxa" w:w="90"/>
              <w:bottom w:type="dxa" w:w="50"/>
              <w:right w:type="dxa" w:w="90"/>
            </w:tcMar>
          </w:tcPr>
          <w:p>
            <w:pPr>
              <w:keepNext/>
              <w:jc w:val="right"/>
            </w:pPr>
            <w:r>
              <w:rPr>
                <w:b w:val="false"/>
                <w:bCs w:val="false"/>
                <w:sz w:val="19"/>
                <w:szCs w:val="19"/>
              </w:rPr>
              <w:t xml:space="preserve">$324.07</w:t>
            </w:r>
          </w:p>
        </w:tc>
        <w:tc>
          <w:tcPr>
            <w:tcW w:type="dxa" w:w="880"/>
            <w:tcBorders>
              <w:top w:val="none" w:color="FFFFFF" w:sz="0"/>
              <w:left w:val="none" w:color="FFFFFF" w:sz="0"/>
              <w:bottom w:val="single" w:color="BFBFBF" w:sz="4"/>
              <w:right w:val="none" w:color="FFFFFF" w:sz="0"/>
            </w:tcBorders>
            <w:tcMar>
              <w:top w:type="dxa" w:w="50"/>
              <w:left w:type="dxa" w:w="90"/>
              <w:bottom w:type="dxa" w:w="50"/>
              <w:right w:type="dxa" w:w="90"/>
            </w:tcMar>
          </w:tcPr>
          <w:p>
            <w:pPr>
              <w:keepNext/>
              <w:jc w:val="right"/>
            </w:pPr>
            <w:r>
              <w:rPr>
                <w:b w:val="false"/>
                <w:bCs w:val="false"/>
                <w:sz w:val="19"/>
                <w:szCs w:val="19"/>
              </w:rPr>
              <w:t xml:space="preserve">$322.27</w:t>
            </w:r>
          </w:p>
        </w:tc>
        <w:tc>
          <w:tcPr>
            <w:tcW w:type="dxa" w:w="1150"/>
            <w:tcBorders>
              <w:top w:val="none" w:color="FFFFFF" w:sz="0"/>
              <w:left w:val="none" w:color="FFFFFF" w:sz="0"/>
              <w:bottom w:val="single" w:color="BFBFBF" w:sz="4"/>
              <w:right w:val="none" w:color="FFFFFF" w:sz="0"/>
            </w:tcBorders>
            <w:tcMar>
              <w:top w:type="dxa" w:w="50"/>
              <w:left w:type="dxa" w:w="90"/>
              <w:bottom w:type="dxa" w:w="50"/>
              <w:right w:type="dxa" w:w="90"/>
            </w:tcMar>
          </w:tcPr>
          <w:p>
            <w:pPr>
              <w:keepNext/>
              <w:jc w:val="right"/>
            </w:pPr>
            <w:r>
              <w:rPr>
                <w:b w:val="false"/>
                <w:bCs w:val="false"/>
                <w:sz w:val="19"/>
                <w:szCs w:val="19"/>
              </w:rPr>
              <w:t xml:space="preserve">275 – 378</w:t>
            </w:r>
          </w:p>
        </w:tc>
        <w:tc>
          <w:tcPr>
            <w:tcW w:type="dxa" w:w="900"/>
            <w:tcBorders>
              <w:top w:val="none" w:color="FFFFFF" w:sz="0"/>
              <w:left w:val="none" w:color="FFFFFF" w:sz="0"/>
              <w:bottom w:val="single" w:color="BFBFBF" w:sz="4"/>
              <w:right w:val="none" w:color="FFFFFF" w:sz="0"/>
            </w:tcBorders>
            <w:tcMar>
              <w:top w:type="dxa" w:w="50"/>
              <w:left w:type="dxa" w:w="90"/>
              <w:bottom w:type="dxa" w:w="50"/>
              <w:right w:type="dxa" w:w="90"/>
            </w:tcMar>
          </w:tcPr>
          <w:p>
            <w:pPr>
              <w:keepNext/>
              <w:jc w:val="right"/>
            </w:pPr>
            <w:r>
              <w:rPr>
                <w:b w:val="false"/>
                <w:bCs w:val="false"/>
                <w:sz w:val="19"/>
                <w:szCs w:val="19"/>
              </w:rPr>
              <w:t xml:space="preserve">2.5%</w:t>
            </w:r>
          </w:p>
        </w:tc>
        <w:tc>
          <w:tcPr>
            <w:tcW w:type="dxa" w:w="850"/>
            <w:tcBorders>
              <w:top w:val="none" w:color="FFFFFF" w:sz="0"/>
              <w:left w:val="none" w:color="FFFFFF" w:sz="0"/>
              <w:bottom w:val="single" w:color="BFBFBF" w:sz="4"/>
              <w:right w:val="none" w:color="FFFFFF" w:sz="0"/>
            </w:tcBorders>
            <w:tcMar>
              <w:top w:type="dxa" w:w="50"/>
              <w:left w:type="dxa" w:w="90"/>
              <w:bottom w:type="dxa" w:w="50"/>
              <w:right w:type="dxa" w:w="90"/>
            </w:tcMar>
          </w:tcPr>
          <w:p>
            <w:pPr>
              <w:keepNext/>
              <w:jc w:val="right"/>
            </w:pPr>
            <w:r>
              <w:rPr>
                <w:b w:val="false"/>
                <w:bCs w:val="false"/>
                <w:sz w:val="19"/>
                <w:szCs w:val="19"/>
              </w:rPr>
              <w:t xml:space="preserve">41.9%</w:t>
            </w:r>
          </w:p>
        </w:tc>
        <w:tc>
          <w:tcPr>
            <w:tcW w:type="dxa" w:w="1100"/>
            <w:tcBorders>
              <w:top w:val="none" w:color="FFFFFF" w:sz="0"/>
              <w:left w:val="none" w:color="FFFFFF" w:sz="0"/>
              <w:bottom w:val="single" w:color="BFBFBF" w:sz="4"/>
              <w:right w:val="none" w:color="FFFFFF" w:sz="0"/>
            </w:tcBorders>
            <w:tcMar>
              <w:top w:type="dxa" w:w="50"/>
              <w:left w:type="dxa" w:w="90"/>
              <w:bottom w:type="dxa" w:w="50"/>
              <w:right w:type="dxa" w:w="90"/>
            </w:tcMar>
          </w:tcPr>
          <w:p>
            <w:pPr>
              <w:keepNext/>
              <w:jc w:val="right"/>
            </w:pPr>
            <w:r>
              <w:rPr>
                <w:b w:val="false"/>
                <w:bCs w:val="false"/>
                <w:sz w:val="19"/>
                <w:szCs w:val="19"/>
              </w:rPr>
              <w:t xml:space="preserve">9.8%</w:t>
            </w:r>
          </w:p>
        </w:tc>
        <w:tc>
          <w:tcPr>
            <w:tcW w:type="dxa" w:w="1050"/>
            <w:tcBorders>
              <w:top w:val="none" w:color="FFFFFF" w:sz="0"/>
              <w:left w:val="none" w:color="FFFFFF" w:sz="0"/>
              <w:bottom w:val="single" w:color="BFBFBF" w:sz="4"/>
              <w:right w:val="none" w:color="FFFFFF" w:sz="0"/>
            </w:tcBorders>
            <w:tcMar>
              <w:top w:type="dxa" w:w="50"/>
              <w:left w:type="dxa" w:w="90"/>
              <w:bottom w:type="dxa" w:w="50"/>
              <w:right w:type="dxa" w:w="90"/>
            </w:tcMar>
          </w:tcPr>
          <w:p>
            <w:pPr>
              <w:keepNext/>
              <w:jc w:val="right"/>
            </w:pPr>
            <w:r>
              <w:rPr>
                <w:b w:val="false"/>
                <w:bCs w:val="false"/>
                <w:sz w:val="19"/>
                <w:szCs w:val="19"/>
              </w:rPr>
              <w:t xml:space="preserve">12.9%</w:t>
            </w:r>
          </w:p>
        </w:tc>
        <w:tc>
          <w:tcPr>
            <w:tcW w:type="dxa" w:w="1120"/>
            <w:tcBorders>
              <w:top w:val="none" w:color="FFFFFF" w:sz="0"/>
              <w:left w:val="none" w:color="FFFFFF" w:sz="0"/>
              <w:bottom w:val="single" w:color="BFBFBF" w:sz="4"/>
              <w:right w:val="none" w:color="FFFFFF" w:sz="0"/>
            </w:tcBorders>
            <w:tcMar>
              <w:top w:type="dxa" w:w="50"/>
              <w:left w:type="dxa" w:w="90"/>
              <w:bottom w:type="dxa" w:w="50"/>
              <w:right w:type="dxa" w:w="90"/>
            </w:tcMar>
          </w:tcPr>
          <w:p>
            <w:pPr>
              <w:keepNext/>
              <w:jc w:val="right"/>
            </w:pPr>
            <w:r>
              <w:rPr>
                <w:b w:val="false"/>
                <w:bCs w:val="false"/>
                <w:sz w:val="19"/>
                <w:szCs w:val="19"/>
              </w:rPr>
              <w:t xml:space="preserve">16.4%</w:t>
            </w:r>
          </w:p>
        </w:tc>
      </w:tr>
      <w:tr>
        <w:trPr>
          <w:cantSplit/>
        </w:trPr>
        <w:tc>
          <w:tcPr>
            <w:tcW w:type="dxa" w:w="1150"/>
            <w:tcBorders>
              <w:top w:val="none" w:color="FFFFFF" w:sz="0"/>
              <w:left w:val="none" w:color="FFFFFF" w:sz="0"/>
              <w:bottom w:val="single" w:color="BFBFBF" w:sz="4"/>
              <w:right w:val="none" w:color="FFFFFF" w:sz="0"/>
            </w:tcBorders>
            <w:shd w:fill="F7F7F7" w:color="auto" w:val="clear"/>
            <w:tcMar>
              <w:top w:type="dxa" w:w="50"/>
              <w:left w:type="dxa" w:w="90"/>
              <w:bottom w:type="dxa" w:w="50"/>
              <w:right w:type="dxa" w:w="90"/>
            </w:tcMar>
          </w:tcPr>
          <w:p>
            <w:pPr>
              <w:keepNext/>
              <w:jc w:val="left"/>
            </w:pPr>
            <w:r>
              <w:rPr>
                <w:b w:val="false"/>
                <w:bCs w:val="false"/>
                <w:sz w:val="19"/>
                <w:szCs w:val="19"/>
              </w:rPr>
              <w:t xml:space="preserve"/>
            </w:r>
          </w:p>
        </w:tc>
        <w:tc>
          <w:tcPr>
            <w:tcW w:type="dxa" w:w="560"/>
            <w:tcBorders>
              <w:top w:val="none" w:color="FFFFFF" w:sz="0"/>
              <w:left w:val="none" w:color="FFFFFF" w:sz="0"/>
              <w:bottom w:val="single" w:color="BFBFBF" w:sz="4"/>
              <w:right w:val="none" w:color="FFFFFF" w:sz="0"/>
            </w:tcBorders>
            <w:shd w:fill="F7F7F7" w:color="auto" w:val="clear"/>
            <w:tcMar>
              <w:top w:type="dxa" w:w="50"/>
              <w:left w:type="dxa" w:w="90"/>
              <w:bottom w:type="dxa" w:w="50"/>
              <w:right w:type="dxa" w:w="90"/>
            </w:tcMar>
          </w:tcPr>
          <w:p>
            <w:pPr>
              <w:keepNext/>
              <w:jc w:val="right"/>
            </w:pPr>
            <w:r>
              <w:rPr>
                <w:b w:val="false"/>
                <w:bCs w:val="false"/>
                <w:sz w:val="19"/>
                <w:szCs w:val="19"/>
              </w:rPr>
              <w:t xml:space="preserve">60</w:t>
            </w:r>
          </w:p>
        </w:tc>
        <w:tc>
          <w:tcPr>
            <w:tcW w:type="dxa" w:w="880"/>
            <w:tcBorders>
              <w:top w:val="none" w:color="FFFFFF" w:sz="0"/>
              <w:left w:val="none" w:color="FFFFFF" w:sz="0"/>
              <w:bottom w:val="single" w:color="BFBFBF" w:sz="4"/>
              <w:right w:val="none" w:color="FFFFFF" w:sz="0"/>
            </w:tcBorders>
            <w:shd w:fill="F7F7F7" w:color="auto" w:val="clear"/>
            <w:tcMar>
              <w:top w:type="dxa" w:w="50"/>
              <w:left w:type="dxa" w:w="90"/>
              <w:bottom w:type="dxa" w:w="50"/>
              <w:right w:type="dxa" w:w="90"/>
            </w:tcMar>
          </w:tcPr>
          <w:p>
            <w:pPr>
              <w:keepNext/>
              <w:jc w:val="right"/>
            </w:pPr>
            <w:r>
              <w:rPr>
                <w:b w:val="false"/>
                <w:bCs w:val="false"/>
                <w:sz w:val="19"/>
                <w:szCs w:val="19"/>
              </w:rPr>
              <w:t xml:space="preserve">$331.68</w:t>
            </w:r>
          </w:p>
        </w:tc>
        <w:tc>
          <w:tcPr>
            <w:tcW w:type="dxa" w:w="880"/>
            <w:tcBorders>
              <w:top w:val="none" w:color="FFFFFF" w:sz="0"/>
              <w:left w:val="none" w:color="FFFFFF" w:sz="0"/>
              <w:bottom w:val="single" w:color="BFBFBF" w:sz="4"/>
              <w:right w:val="none" w:color="FFFFFF" w:sz="0"/>
            </w:tcBorders>
            <w:shd w:fill="F7F7F7" w:color="auto" w:val="clear"/>
            <w:tcMar>
              <w:top w:type="dxa" w:w="50"/>
              <w:left w:type="dxa" w:w="90"/>
              <w:bottom w:type="dxa" w:w="50"/>
              <w:right w:type="dxa" w:w="90"/>
            </w:tcMar>
          </w:tcPr>
          <w:p>
            <w:pPr>
              <w:keepNext/>
              <w:jc w:val="right"/>
            </w:pPr>
            <w:r>
              <w:rPr>
                <w:b w:val="false"/>
                <w:bCs w:val="false"/>
                <w:sz w:val="19"/>
                <w:szCs w:val="19"/>
              </w:rPr>
              <w:t xml:space="preserve">$328.76</w:t>
            </w:r>
          </w:p>
        </w:tc>
        <w:tc>
          <w:tcPr>
            <w:tcW w:type="dxa" w:w="1150"/>
            <w:tcBorders>
              <w:top w:val="none" w:color="FFFFFF" w:sz="0"/>
              <w:left w:val="none" w:color="FFFFFF" w:sz="0"/>
              <w:bottom w:val="single" w:color="BFBFBF" w:sz="4"/>
              <w:right w:val="none" w:color="FFFFFF" w:sz="0"/>
            </w:tcBorders>
            <w:shd w:fill="F7F7F7" w:color="auto" w:val="clear"/>
            <w:tcMar>
              <w:top w:type="dxa" w:w="50"/>
              <w:left w:type="dxa" w:w="90"/>
              <w:bottom w:type="dxa" w:w="50"/>
              <w:right w:type="dxa" w:w="90"/>
            </w:tcMar>
          </w:tcPr>
          <w:p>
            <w:pPr>
              <w:keepNext/>
              <w:jc w:val="right"/>
            </w:pPr>
            <w:r>
              <w:rPr>
                <w:b w:val="false"/>
                <w:bCs w:val="false"/>
                <w:sz w:val="19"/>
                <w:szCs w:val="19"/>
              </w:rPr>
              <w:t xml:space="preserve">263 – 411</w:t>
            </w:r>
          </w:p>
        </w:tc>
        <w:tc>
          <w:tcPr>
            <w:tcW w:type="dxa" w:w="900"/>
            <w:tcBorders>
              <w:top w:val="none" w:color="FFFFFF" w:sz="0"/>
              <w:left w:val="none" w:color="FFFFFF" w:sz="0"/>
              <w:bottom w:val="single" w:color="BFBFBF" w:sz="4"/>
              <w:right w:val="none" w:color="FFFFFF" w:sz="0"/>
            </w:tcBorders>
            <w:shd w:fill="F7F7F7" w:color="auto" w:val="clear"/>
            <w:tcMar>
              <w:top w:type="dxa" w:w="50"/>
              <w:left w:type="dxa" w:w="90"/>
              <w:bottom w:type="dxa" w:w="50"/>
              <w:right w:type="dxa" w:w="90"/>
            </w:tcMar>
          </w:tcPr>
          <w:p>
            <w:pPr>
              <w:keepNext/>
              <w:jc w:val="right"/>
            </w:pPr>
            <w:r>
              <w:rPr>
                <w:b w:val="false"/>
                <w:bCs w:val="false"/>
                <w:sz w:val="19"/>
                <w:szCs w:val="19"/>
              </w:rPr>
              <w:t xml:space="preserve">4.9%</w:t>
            </w:r>
          </w:p>
        </w:tc>
        <w:tc>
          <w:tcPr>
            <w:tcW w:type="dxa" w:w="850"/>
            <w:tcBorders>
              <w:top w:val="none" w:color="FFFFFF" w:sz="0"/>
              <w:left w:val="none" w:color="FFFFFF" w:sz="0"/>
              <w:bottom w:val="single" w:color="BFBFBF" w:sz="4"/>
              <w:right w:val="none" w:color="FFFFFF" w:sz="0"/>
            </w:tcBorders>
            <w:shd w:fill="F7F7F7" w:color="auto" w:val="clear"/>
            <w:tcMar>
              <w:top w:type="dxa" w:w="50"/>
              <w:left w:type="dxa" w:w="90"/>
              <w:bottom w:type="dxa" w:w="50"/>
              <w:right w:type="dxa" w:w="90"/>
            </w:tcMar>
          </w:tcPr>
          <w:p>
            <w:pPr>
              <w:keepNext/>
              <w:jc w:val="right"/>
            </w:pPr>
            <w:r>
              <w:rPr>
                <w:b w:val="false"/>
                <w:bCs w:val="false"/>
                <w:sz w:val="19"/>
                <w:szCs w:val="19"/>
              </w:rPr>
              <w:t xml:space="preserve">38.6%</w:t>
            </w:r>
          </w:p>
        </w:tc>
        <w:tc>
          <w:tcPr>
            <w:tcW w:type="dxa" w:w="1100"/>
            <w:tcBorders>
              <w:top w:val="none" w:color="FFFFFF" w:sz="0"/>
              <w:left w:val="none" w:color="FFFFFF" w:sz="0"/>
              <w:bottom w:val="single" w:color="BFBFBF" w:sz="4"/>
              <w:right w:val="none" w:color="FFFFFF" w:sz="0"/>
            </w:tcBorders>
            <w:shd w:fill="F7F7F7" w:color="auto" w:val="clear"/>
            <w:tcMar>
              <w:top w:type="dxa" w:w="50"/>
              <w:left w:type="dxa" w:w="90"/>
              <w:bottom w:type="dxa" w:w="50"/>
              <w:right w:type="dxa" w:w="90"/>
            </w:tcMar>
          </w:tcPr>
          <w:p>
            <w:pPr>
              <w:keepNext/>
              <w:jc w:val="right"/>
            </w:pPr>
            <w:r>
              <w:rPr>
                <w:b w:val="false"/>
                <w:bCs w:val="false"/>
                <w:sz w:val="19"/>
                <w:szCs w:val="19"/>
              </w:rPr>
              <w:t xml:space="preserve">14.1%</w:t>
            </w:r>
          </w:p>
        </w:tc>
        <w:tc>
          <w:tcPr>
            <w:tcW w:type="dxa" w:w="1050"/>
            <w:tcBorders>
              <w:top w:val="none" w:color="FFFFFF" w:sz="0"/>
              <w:left w:val="none" w:color="FFFFFF" w:sz="0"/>
              <w:bottom w:val="single" w:color="BFBFBF" w:sz="4"/>
              <w:right w:val="none" w:color="FFFFFF" w:sz="0"/>
            </w:tcBorders>
            <w:shd w:fill="F7F7F7" w:color="auto" w:val="clear"/>
            <w:tcMar>
              <w:top w:type="dxa" w:w="50"/>
              <w:left w:type="dxa" w:w="90"/>
              <w:bottom w:type="dxa" w:w="50"/>
              <w:right w:type="dxa" w:w="90"/>
            </w:tcMar>
          </w:tcPr>
          <w:p>
            <w:pPr>
              <w:keepNext/>
              <w:jc w:val="right"/>
            </w:pPr>
            <w:r>
              <w:rPr>
                <w:b w:val="false"/>
                <w:bCs w:val="false"/>
                <w:sz w:val="19"/>
                <w:szCs w:val="19"/>
              </w:rPr>
              <w:t xml:space="preserve">16.7%</w:t>
            </w:r>
          </w:p>
        </w:tc>
        <w:tc>
          <w:tcPr>
            <w:tcW w:type="dxa" w:w="1120"/>
            <w:tcBorders>
              <w:top w:val="none" w:color="FFFFFF" w:sz="0"/>
              <w:left w:val="none" w:color="FFFFFF" w:sz="0"/>
              <w:bottom w:val="single" w:color="BFBFBF" w:sz="4"/>
              <w:right w:val="none" w:color="FFFFFF" w:sz="0"/>
            </w:tcBorders>
            <w:shd w:fill="F7F7F7" w:color="auto" w:val="clear"/>
            <w:tcMar>
              <w:top w:type="dxa" w:w="50"/>
              <w:left w:type="dxa" w:w="90"/>
              <w:bottom w:type="dxa" w:w="50"/>
              <w:right w:type="dxa" w:w="90"/>
            </w:tcMar>
          </w:tcPr>
          <w:p>
            <w:pPr>
              <w:keepNext/>
              <w:jc w:val="right"/>
            </w:pPr>
            <w:r>
              <w:rPr>
                <w:b w:val="false"/>
                <w:bCs w:val="false"/>
                <w:sz w:val="19"/>
                <w:szCs w:val="19"/>
              </w:rPr>
              <w:t xml:space="preserve">21.3%</w:t>
            </w:r>
          </w:p>
        </w:tc>
      </w:tr>
      <w:tr>
        <w:trPr>
          <w:cantSplit/>
        </w:trPr>
        <w:tc>
          <w:tcPr>
            <w:tcW w:type="dxa" w:w="1150"/>
            <w:tcBorders>
              <w:top w:val="none" w:color="FFFFFF" w:sz="0"/>
              <w:left w:val="none" w:color="FFFFFF" w:sz="0"/>
              <w:bottom w:val="single" w:color="BFBFBF" w:sz="4"/>
              <w:right w:val="none" w:color="FFFFFF" w:sz="0"/>
            </w:tcBorders>
            <w:tcMar>
              <w:top w:type="dxa" w:w="50"/>
              <w:left w:type="dxa" w:w="90"/>
              <w:bottom w:type="dxa" w:w="50"/>
              <w:right w:type="dxa" w:w="90"/>
            </w:tcMar>
          </w:tcPr>
          <w:p>
            <w:pPr>
              <w:keepNext/>
              <w:jc w:val="left"/>
            </w:pPr>
            <w:r>
              <w:rPr>
                <w:b w:val="false"/>
                <w:bCs w:val="false"/>
                <w:sz w:val="19"/>
                <w:szCs w:val="19"/>
              </w:rPr>
              <w:t xml:space="preserve"/>
            </w:r>
          </w:p>
        </w:tc>
        <w:tc>
          <w:tcPr>
            <w:tcW w:type="dxa" w:w="560"/>
            <w:tcBorders>
              <w:top w:val="none" w:color="FFFFFF" w:sz="0"/>
              <w:left w:val="none" w:color="FFFFFF" w:sz="0"/>
              <w:bottom w:val="single" w:color="BFBFBF" w:sz="4"/>
              <w:right w:val="none" w:color="FFFFFF" w:sz="0"/>
            </w:tcBorders>
            <w:tcMar>
              <w:top w:type="dxa" w:w="50"/>
              <w:left w:type="dxa" w:w="90"/>
              <w:bottom w:type="dxa" w:w="50"/>
              <w:right w:type="dxa" w:w="90"/>
            </w:tcMar>
          </w:tcPr>
          <w:p>
            <w:pPr>
              <w:keepNext/>
              <w:jc w:val="right"/>
            </w:pPr>
            <w:r>
              <w:rPr>
                <w:b w:val="false"/>
                <w:bCs w:val="false"/>
                <w:sz w:val="19"/>
                <w:szCs w:val="19"/>
              </w:rPr>
              <w:t xml:space="preserve">180</w:t>
            </w:r>
          </w:p>
        </w:tc>
        <w:tc>
          <w:tcPr>
            <w:tcW w:type="dxa" w:w="880"/>
            <w:tcBorders>
              <w:top w:val="none" w:color="FFFFFF" w:sz="0"/>
              <w:left w:val="none" w:color="FFFFFF" w:sz="0"/>
              <w:bottom w:val="single" w:color="BFBFBF" w:sz="4"/>
              <w:right w:val="none" w:color="FFFFFF" w:sz="0"/>
            </w:tcBorders>
            <w:tcMar>
              <w:top w:type="dxa" w:w="50"/>
              <w:left w:type="dxa" w:w="90"/>
              <w:bottom w:type="dxa" w:w="50"/>
              <w:right w:type="dxa" w:w="90"/>
            </w:tcMar>
          </w:tcPr>
          <w:p>
            <w:pPr>
              <w:keepNext/>
              <w:jc w:val="right"/>
            </w:pPr>
            <w:r>
              <w:rPr>
                <w:b w:val="false"/>
                <w:bCs w:val="false"/>
                <w:sz w:val="19"/>
                <w:szCs w:val="19"/>
              </w:rPr>
              <w:t xml:space="preserve">$367.38</w:t>
            </w:r>
          </w:p>
        </w:tc>
        <w:tc>
          <w:tcPr>
            <w:tcW w:type="dxa" w:w="880"/>
            <w:tcBorders>
              <w:top w:val="none" w:color="FFFFFF" w:sz="0"/>
              <w:left w:val="none" w:color="FFFFFF" w:sz="0"/>
              <w:bottom w:val="single" w:color="BFBFBF" w:sz="4"/>
              <w:right w:val="none" w:color="FFFFFF" w:sz="0"/>
            </w:tcBorders>
            <w:tcMar>
              <w:top w:type="dxa" w:w="50"/>
              <w:left w:type="dxa" w:w="90"/>
              <w:bottom w:type="dxa" w:w="50"/>
              <w:right w:type="dxa" w:w="90"/>
            </w:tcMar>
          </w:tcPr>
          <w:p>
            <w:pPr>
              <w:keepNext/>
              <w:jc w:val="right"/>
            </w:pPr>
            <w:r>
              <w:rPr>
                <w:b w:val="false"/>
                <w:bCs w:val="false"/>
                <w:sz w:val="19"/>
                <w:szCs w:val="19"/>
              </w:rPr>
              <w:t xml:space="preserve">$356.86</w:t>
            </w:r>
          </w:p>
        </w:tc>
        <w:tc>
          <w:tcPr>
            <w:tcW w:type="dxa" w:w="1150"/>
            <w:tcBorders>
              <w:top w:val="none" w:color="FFFFFF" w:sz="0"/>
              <w:left w:val="none" w:color="FFFFFF" w:sz="0"/>
              <w:bottom w:val="single" w:color="BFBFBF" w:sz="4"/>
              <w:right w:val="none" w:color="FFFFFF" w:sz="0"/>
            </w:tcBorders>
            <w:tcMar>
              <w:top w:type="dxa" w:w="50"/>
              <w:left w:type="dxa" w:w="90"/>
              <w:bottom w:type="dxa" w:w="50"/>
              <w:right w:type="dxa" w:w="90"/>
            </w:tcMar>
          </w:tcPr>
          <w:p>
            <w:pPr>
              <w:keepNext/>
              <w:jc w:val="right"/>
            </w:pPr>
            <w:r>
              <w:rPr>
                <w:b w:val="false"/>
                <w:bCs w:val="false"/>
                <w:sz w:val="19"/>
                <w:szCs w:val="19"/>
              </w:rPr>
              <w:t xml:space="preserve">243 – 527</w:t>
            </w:r>
          </w:p>
        </w:tc>
        <w:tc>
          <w:tcPr>
            <w:tcW w:type="dxa" w:w="900"/>
            <w:tcBorders>
              <w:top w:val="none" w:color="FFFFFF" w:sz="0"/>
              <w:left w:val="none" w:color="FFFFFF" w:sz="0"/>
              <w:bottom w:val="single" w:color="BFBFBF" w:sz="4"/>
              <w:right w:val="none" w:color="FFFFFF" w:sz="0"/>
            </w:tcBorders>
            <w:tcMar>
              <w:top w:type="dxa" w:w="50"/>
              <w:left w:type="dxa" w:w="90"/>
              <w:bottom w:type="dxa" w:w="50"/>
              <w:right w:type="dxa" w:w="90"/>
            </w:tcMar>
          </w:tcPr>
          <w:p>
            <w:pPr>
              <w:keepNext/>
              <w:jc w:val="right"/>
            </w:pPr>
            <w:r>
              <w:rPr>
                <w:b w:val="false"/>
                <w:bCs w:val="false"/>
                <w:sz w:val="19"/>
                <w:szCs w:val="19"/>
              </w:rPr>
              <w:t xml:space="preserve">16.2%</w:t>
            </w:r>
          </w:p>
        </w:tc>
        <w:tc>
          <w:tcPr>
            <w:tcW w:type="dxa" w:w="850"/>
            <w:tcBorders>
              <w:top w:val="none" w:color="FFFFFF" w:sz="0"/>
              <w:left w:val="none" w:color="FFFFFF" w:sz="0"/>
              <w:bottom w:val="single" w:color="BFBFBF" w:sz="4"/>
              <w:right w:val="none" w:color="FFFFFF" w:sz="0"/>
            </w:tcBorders>
            <w:tcMar>
              <w:top w:type="dxa" w:w="50"/>
              <w:left w:type="dxa" w:w="90"/>
              <w:bottom w:type="dxa" w:w="50"/>
              <w:right w:type="dxa" w:w="90"/>
            </w:tcMar>
          </w:tcPr>
          <w:p>
            <w:pPr>
              <w:keepNext/>
              <w:jc w:val="right"/>
            </w:pPr>
            <w:r>
              <w:rPr>
                <w:b w:val="false"/>
                <w:bCs w:val="false"/>
                <w:sz w:val="19"/>
                <w:szCs w:val="19"/>
              </w:rPr>
              <w:t xml:space="preserve">30.3%</w:t>
            </w:r>
          </w:p>
        </w:tc>
        <w:tc>
          <w:tcPr>
            <w:tcW w:type="dxa" w:w="1100"/>
            <w:tcBorders>
              <w:top w:val="none" w:color="FFFFFF" w:sz="0"/>
              <w:left w:val="none" w:color="FFFFFF" w:sz="0"/>
              <w:bottom w:val="single" w:color="BFBFBF" w:sz="4"/>
              <w:right w:val="none" w:color="FFFFFF" w:sz="0"/>
            </w:tcBorders>
            <w:tcMar>
              <w:top w:type="dxa" w:w="50"/>
              <w:left w:type="dxa" w:w="90"/>
              <w:bottom w:type="dxa" w:w="50"/>
              <w:right w:type="dxa" w:w="90"/>
            </w:tcMar>
          </w:tcPr>
          <w:p>
            <w:pPr>
              <w:keepNext/>
              <w:jc w:val="right"/>
            </w:pPr>
            <w:r>
              <w:rPr>
                <w:b w:val="false"/>
                <w:bCs w:val="false"/>
                <w:sz w:val="19"/>
                <w:szCs w:val="19"/>
              </w:rPr>
              <w:t xml:space="preserve">16.9%</w:t>
            </w:r>
          </w:p>
        </w:tc>
        <w:tc>
          <w:tcPr>
            <w:tcW w:type="dxa" w:w="1050"/>
            <w:tcBorders>
              <w:top w:val="none" w:color="FFFFFF" w:sz="0"/>
              <w:left w:val="none" w:color="FFFFFF" w:sz="0"/>
              <w:bottom w:val="single" w:color="BFBFBF" w:sz="4"/>
              <w:right w:val="none" w:color="FFFFFF" w:sz="0"/>
            </w:tcBorders>
            <w:tcMar>
              <w:top w:type="dxa" w:w="50"/>
              <w:left w:type="dxa" w:w="90"/>
              <w:bottom w:type="dxa" w:w="50"/>
              <w:right w:type="dxa" w:w="90"/>
            </w:tcMar>
          </w:tcPr>
          <w:p>
            <w:pPr>
              <w:keepNext/>
              <w:jc w:val="right"/>
            </w:pPr>
            <w:r>
              <w:rPr>
                <w:b w:val="false"/>
                <w:bCs w:val="false"/>
                <w:sz w:val="19"/>
                <w:szCs w:val="19"/>
              </w:rPr>
              <w:t xml:space="preserve">23.2%</w:t>
            </w:r>
          </w:p>
        </w:tc>
        <w:tc>
          <w:tcPr>
            <w:tcW w:type="dxa" w:w="1120"/>
            <w:tcBorders>
              <w:top w:val="none" w:color="FFFFFF" w:sz="0"/>
              <w:left w:val="none" w:color="FFFFFF" w:sz="0"/>
              <w:bottom w:val="single" w:color="BFBFBF" w:sz="4"/>
              <w:right w:val="none" w:color="FFFFFF" w:sz="0"/>
            </w:tcBorders>
            <w:tcMar>
              <w:top w:type="dxa" w:w="50"/>
              <w:left w:type="dxa" w:w="90"/>
              <w:bottom w:type="dxa" w:w="50"/>
              <w:right w:type="dxa" w:w="90"/>
            </w:tcMar>
          </w:tcPr>
          <w:p>
            <w:pPr>
              <w:keepNext/>
              <w:jc w:val="right"/>
            </w:pPr>
            <w:r>
              <w:rPr>
                <w:b w:val="false"/>
                <w:bCs w:val="false"/>
                <w:sz w:val="19"/>
                <w:szCs w:val="19"/>
              </w:rPr>
              <w:t xml:space="preserve">29.9%</w:t>
            </w:r>
          </w:p>
        </w:tc>
      </w:tr>
      <w:tr>
        <w:trPr>
          <w:cantSplit/>
        </w:trPr>
        <w:tc>
          <w:tcPr>
            <w:tcW w:type="dxa" w:w="1150"/>
            <w:tcBorders>
              <w:top w:val="none" w:color="FFFFFF" w:sz="0"/>
              <w:left w:val="none" w:color="FFFFFF" w:sz="0"/>
              <w:bottom w:val="single" w:color="BFBFBF" w:sz="4"/>
              <w:right w:val="none" w:color="FFFFFF" w:sz="0"/>
            </w:tcBorders>
            <w:shd w:fill="F7F7F7" w:color="auto" w:val="clear"/>
            <w:tcMar>
              <w:top w:type="dxa" w:w="50"/>
              <w:left w:type="dxa" w:w="90"/>
              <w:bottom w:type="dxa" w:w="50"/>
              <w:right w:type="dxa" w:w="90"/>
            </w:tcMar>
          </w:tcPr>
          <w:p>
            <w:pPr>
              <w:keepNext/>
              <w:jc w:val="left"/>
            </w:pPr>
            <w:r>
              <w:rPr>
                <w:b w:val="false"/>
                <w:bCs w:val="false"/>
                <w:sz w:val="19"/>
                <w:szCs w:val="19"/>
              </w:rPr>
              <w:t xml:space="preserve">OU (trend)</w:t>
            </w:r>
          </w:p>
        </w:tc>
        <w:tc>
          <w:tcPr>
            <w:tcW w:type="dxa" w:w="560"/>
            <w:tcBorders>
              <w:top w:val="none" w:color="FFFFFF" w:sz="0"/>
              <w:left w:val="none" w:color="FFFFFF" w:sz="0"/>
              <w:bottom w:val="single" w:color="BFBFBF" w:sz="4"/>
              <w:right w:val="none" w:color="FFFFFF" w:sz="0"/>
            </w:tcBorders>
            <w:shd w:fill="F7F7F7" w:color="auto" w:val="clear"/>
            <w:tcMar>
              <w:top w:type="dxa" w:w="50"/>
              <w:left w:type="dxa" w:w="90"/>
              <w:bottom w:type="dxa" w:w="50"/>
              <w:right w:type="dxa" w:w="90"/>
            </w:tcMar>
          </w:tcPr>
          <w:p>
            <w:pPr>
              <w:keepNext/>
              <w:jc w:val="right"/>
            </w:pPr>
            <w:r>
              <w:rPr>
                <w:b w:val="false"/>
                <w:bCs w:val="false"/>
                <w:sz w:val="19"/>
                <w:szCs w:val="19"/>
              </w:rPr>
              <w:t xml:space="preserve">30</w:t>
            </w:r>
          </w:p>
        </w:tc>
        <w:tc>
          <w:tcPr>
            <w:tcW w:type="dxa" w:w="880"/>
            <w:tcBorders>
              <w:top w:val="none" w:color="FFFFFF" w:sz="0"/>
              <w:left w:val="none" w:color="FFFFFF" w:sz="0"/>
              <w:bottom w:val="single" w:color="BFBFBF" w:sz="4"/>
              <w:right w:val="none" w:color="FFFFFF" w:sz="0"/>
            </w:tcBorders>
            <w:shd w:fill="F7F7F7" w:color="auto" w:val="clear"/>
            <w:tcMar>
              <w:top w:type="dxa" w:w="50"/>
              <w:left w:type="dxa" w:w="90"/>
              <w:bottom w:type="dxa" w:w="50"/>
              <w:right w:type="dxa" w:w="90"/>
            </w:tcMar>
          </w:tcPr>
          <w:p>
            <w:pPr>
              <w:keepNext/>
              <w:jc w:val="right"/>
            </w:pPr>
            <w:r>
              <w:rPr>
                <w:b w:val="false"/>
                <w:bCs w:val="false"/>
                <w:sz w:val="19"/>
                <w:szCs w:val="19"/>
              </w:rPr>
              <w:t xml:space="preserve">$304.38</w:t>
            </w:r>
          </w:p>
        </w:tc>
        <w:tc>
          <w:tcPr>
            <w:tcW w:type="dxa" w:w="880"/>
            <w:tcBorders>
              <w:top w:val="none" w:color="FFFFFF" w:sz="0"/>
              <w:left w:val="none" w:color="FFFFFF" w:sz="0"/>
              <w:bottom w:val="single" w:color="BFBFBF" w:sz="4"/>
              <w:right w:val="none" w:color="FFFFFF" w:sz="0"/>
            </w:tcBorders>
            <w:shd w:fill="F7F7F7" w:color="auto" w:val="clear"/>
            <w:tcMar>
              <w:top w:type="dxa" w:w="50"/>
              <w:left w:type="dxa" w:w="90"/>
              <w:bottom w:type="dxa" w:w="50"/>
              <w:right w:type="dxa" w:w="90"/>
            </w:tcMar>
          </w:tcPr>
          <w:p>
            <w:pPr>
              <w:keepNext/>
              <w:jc w:val="right"/>
            </w:pPr>
            <w:r>
              <w:rPr>
                <w:b w:val="false"/>
                <w:bCs w:val="false"/>
                <w:sz w:val="19"/>
                <w:szCs w:val="19"/>
              </w:rPr>
              <w:t xml:space="preserve">$303.33</w:t>
            </w:r>
          </w:p>
        </w:tc>
        <w:tc>
          <w:tcPr>
            <w:tcW w:type="dxa" w:w="1150"/>
            <w:tcBorders>
              <w:top w:val="none" w:color="FFFFFF" w:sz="0"/>
              <w:left w:val="none" w:color="FFFFFF" w:sz="0"/>
              <w:bottom w:val="single" w:color="BFBFBF" w:sz="4"/>
              <w:right w:val="none" w:color="FFFFFF" w:sz="0"/>
            </w:tcBorders>
            <w:shd w:fill="F7F7F7" w:color="auto" w:val="clear"/>
            <w:tcMar>
              <w:top w:type="dxa" w:w="50"/>
              <w:left w:type="dxa" w:w="90"/>
              <w:bottom w:type="dxa" w:w="50"/>
              <w:right w:type="dxa" w:w="90"/>
            </w:tcMar>
          </w:tcPr>
          <w:p>
            <w:pPr>
              <w:keepNext/>
              <w:jc w:val="right"/>
            </w:pPr>
            <w:r>
              <w:rPr>
                <w:b w:val="false"/>
                <w:bCs w:val="false"/>
                <w:sz w:val="19"/>
                <w:szCs w:val="19"/>
              </w:rPr>
              <w:t xml:space="preserve">269 – 343</w:t>
            </w:r>
          </w:p>
        </w:tc>
        <w:tc>
          <w:tcPr>
            <w:tcW w:type="dxa" w:w="900"/>
            <w:tcBorders>
              <w:top w:val="none" w:color="FFFFFF" w:sz="0"/>
              <w:left w:val="none" w:color="FFFFFF" w:sz="0"/>
              <w:bottom w:val="single" w:color="BFBFBF" w:sz="4"/>
              <w:right w:val="none" w:color="FFFFFF" w:sz="0"/>
            </w:tcBorders>
            <w:shd w:fill="F7F7F7" w:color="auto" w:val="clear"/>
            <w:tcMar>
              <w:top w:type="dxa" w:w="50"/>
              <w:left w:type="dxa" w:w="90"/>
              <w:bottom w:type="dxa" w:w="50"/>
              <w:right w:type="dxa" w:w="90"/>
            </w:tcMar>
          </w:tcPr>
          <w:p>
            <w:pPr>
              <w:keepNext/>
              <w:jc w:val="right"/>
            </w:pPr>
            <w:r>
              <w:rPr>
                <w:b w:val="false"/>
                <w:bCs w:val="false"/>
                <w:sz w:val="19"/>
                <w:szCs w:val="19"/>
              </w:rPr>
              <w:t xml:space="preserve">-3.7%</w:t>
            </w:r>
          </w:p>
        </w:tc>
        <w:tc>
          <w:tcPr>
            <w:tcW w:type="dxa" w:w="850"/>
            <w:tcBorders>
              <w:top w:val="none" w:color="FFFFFF" w:sz="0"/>
              <w:left w:val="none" w:color="FFFFFF" w:sz="0"/>
              <w:bottom w:val="single" w:color="BFBFBF" w:sz="4"/>
              <w:right w:val="none" w:color="FFFFFF" w:sz="0"/>
            </w:tcBorders>
            <w:shd w:fill="F7F7F7" w:color="auto" w:val="clear"/>
            <w:tcMar>
              <w:top w:type="dxa" w:w="50"/>
              <w:left w:type="dxa" w:w="90"/>
              <w:bottom w:type="dxa" w:w="50"/>
              <w:right w:type="dxa" w:w="90"/>
            </w:tcMar>
          </w:tcPr>
          <w:p>
            <w:pPr>
              <w:keepNext/>
              <w:jc w:val="right"/>
            </w:pPr>
            <w:r>
              <w:rPr>
                <w:b w:val="false"/>
                <w:bCs w:val="false"/>
                <w:sz w:val="19"/>
                <w:szCs w:val="19"/>
              </w:rPr>
              <w:t xml:space="preserve">71.0%</w:t>
            </w:r>
          </w:p>
        </w:tc>
        <w:tc>
          <w:tcPr>
            <w:tcW w:type="dxa" w:w="1100"/>
            <w:tcBorders>
              <w:top w:val="none" w:color="FFFFFF" w:sz="0"/>
              <w:left w:val="none" w:color="FFFFFF" w:sz="0"/>
              <w:bottom w:val="single" w:color="BFBFBF" w:sz="4"/>
              <w:right w:val="none" w:color="FFFFFF" w:sz="0"/>
            </w:tcBorders>
            <w:shd w:fill="F7F7F7" w:color="auto" w:val="clear"/>
            <w:tcMar>
              <w:top w:type="dxa" w:w="50"/>
              <w:left w:type="dxa" w:w="90"/>
              <w:bottom w:type="dxa" w:w="50"/>
              <w:right w:type="dxa" w:w="90"/>
            </w:tcMar>
          </w:tcPr>
          <w:p>
            <w:pPr>
              <w:keepNext/>
              <w:jc w:val="right"/>
            </w:pPr>
            <w:r>
              <w:rPr>
                <w:b w:val="false"/>
                <w:bCs w:val="false"/>
                <w:sz w:val="19"/>
                <w:szCs w:val="19"/>
              </w:rPr>
              <w:t xml:space="preserve">19.4%</w:t>
            </w:r>
          </w:p>
        </w:tc>
        <w:tc>
          <w:tcPr>
            <w:tcW w:type="dxa" w:w="1050"/>
            <w:tcBorders>
              <w:top w:val="none" w:color="FFFFFF" w:sz="0"/>
              <w:left w:val="none" w:color="FFFFFF" w:sz="0"/>
              <w:bottom w:val="single" w:color="BFBFBF" w:sz="4"/>
              <w:right w:val="none" w:color="FFFFFF" w:sz="0"/>
            </w:tcBorders>
            <w:shd w:fill="F7F7F7" w:color="auto" w:val="clear"/>
            <w:tcMar>
              <w:top w:type="dxa" w:w="50"/>
              <w:left w:type="dxa" w:w="90"/>
              <w:bottom w:type="dxa" w:w="50"/>
              <w:right w:type="dxa" w:w="90"/>
            </w:tcMar>
          </w:tcPr>
          <w:p>
            <w:pPr>
              <w:keepNext/>
              <w:jc w:val="right"/>
            </w:pPr>
            <w:r>
              <w:rPr>
                <w:b w:val="false"/>
                <w:bCs w:val="false"/>
                <w:sz w:val="19"/>
                <w:szCs w:val="19"/>
              </w:rPr>
              <w:t xml:space="preserve">15.0%</w:t>
            </w:r>
          </w:p>
        </w:tc>
        <w:tc>
          <w:tcPr>
            <w:tcW w:type="dxa" w:w="1120"/>
            <w:tcBorders>
              <w:top w:val="none" w:color="FFFFFF" w:sz="0"/>
              <w:left w:val="none" w:color="FFFFFF" w:sz="0"/>
              <w:bottom w:val="single" w:color="BFBFBF" w:sz="4"/>
              <w:right w:val="none" w:color="FFFFFF" w:sz="0"/>
            </w:tcBorders>
            <w:shd w:fill="F7F7F7" w:color="auto" w:val="clear"/>
            <w:tcMar>
              <w:top w:type="dxa" w:w="50"/>
              <w:left w:type="dxa" w:w="90"/>
              <w:bottom w:type="dxa" w:w="50"/>
              <w:right w:type="dxa" w:w="90"/>
            </w:tcMar>
          </w:tcPr>
          <w:p>
            <w:pPr>
              <w:keepNext/>
              <w:jc w:val="right"/>
            </w:pPr>
            <w:r>
              <w:rPr>
                <w:b w:val="false"/>
                <w:bCs w:val="false"/>
                <w:sz w:val="19"/>
                <w:szCs w:val="19"/>
              </w:rPr>
              <w:t xml:space="preserve">17.9%</w:t>
            </w:r>
          </w:p>
        </w:tc>
      </w:tr>
      <w:tr>
        <w:trPr>
          <w:cantSplit/>
        </w:trPr>
        <w:tc>
          <w:tcPr>
            <w:tcW w:type="dxa" w:w="1150"/>
            <w:tcBorders>
              <w:top w:val="none" w:color="FFFFFF" w:sz="0"/>
              <w:left w:val="none" w:color="FFFFFF" w:sz="0"/>
              <w:bottom w:val="single" w:color="BFBFBF" w:sz="4"/>
              <w:right w:val="none" w:color="FFFFFF" w:sz="0"/>
            </w:tcBorders>
            <w:tcMar>
              <w:top w:type="dxa" w:w="50"/>
              <w:left w:type="dxa" w:w="90"/>
              <w:bottom w:type="dxa" w:w="50"/>
              <w:right w:type="dxa" w:w="90"/>
            </w:tcMar>
          </w:tcPr>
          <w:p>
            <w:pPr>
              <w:keepNext/>
              <w:jc w:val="left"/>
            </w:pPr>
            <w:r>
              <w:rPr>
                <w:b w:val="false"/>
                <w:bCs w:val="false"/>
                <w:sz w:val="19"/>
                <w:szCs w:val="19"/>
              </w:rPr>
              <w:t xml:space="preserve"/>
            </w:r>
          </w:p>
        </w:tc>
        <w:tc>
          <w:tcPr>
            <w:tcW w:type="dxa" w:w="560"/>
            <w:tcBorders>
              <w:top w:val="none" w:color="FFFFFF" w:sz="0"/>
              <w:left w:val="none" w:color="FFFFFF" w:sz="0"/>
              <w:bottom w:val="single" w:color="BFBFBF" w:sz="4"/>
              <w:right w:val="none" w:color="FFFFFF" w:sz="0"/>
            </w:tcBorders>
            <w:tcMar>
              <w:top w:type="dxa" w:w="50"/>
              <w:left w:type="dxa" w:w="90"/>
              <w:bottom w:type="dxa" w:w="50"/>
              <w:right w:type="dxa" w:w="90"/>
            </w:tcMar>
          </w:tcPr>
          <w:p>
            <w:pPr>
              <w:keepNext/>
              <w:jc w:val="right"/>
            </w:pPr>
            <w:r>
              <w:rPr>
                <w:b w:val="false"/>
                <w:bCs w:val="false"/>
                <w:sz w:val="19"/>
                <w:szCs w:val="19"/>
              </w:rPr>
              <w:t xml:space="preserve">60</w:t>
            </w:r>
          </w:p>
        </w:tc>
        <w:tc>
          <w:tcPr>
            <w:tcW w:type="dxa" w:w="880"/>
            <w:tcBorders>
              <w:top w:val="none" w:color="FFFFFF" w:sz="0"/>
              <w:left w:val="none" w:color="FFFFFF" w:sz="0"/>
              <w:bottom w:val="single" w:color="BFBFBF" w:sz="4"/>
              <w:right w:val="none" w:color="FFFFFF" w:sz="0"/>
            </w:tcBorders>
            <w:tcMar>
              <w:top w:type="dxa" w:w="50"/>
              <w:left w:type="dxa" w:w="90"/>
              <w:bottom w:type="dxa" w:w="50"/>
              <w:right w:type="dxa" w:w="90"/>
            </w:tcMar>
          </w:tcPr>
          <w:p>
            <w:pPr>
              <w:keepNext/>
              <w:jc w:val="right"/>
            </w:pPr>
            <w:r>
              <w:rPr>
                <w:b w:val="false"/>
                <w:bCs w:val="false"/>
                <w:sz w:val="19"/>
                <w:szCs w:val="19"/>
              </w:rPr>
              <w:t xml:space="preserve">$299.95</w:t>
            </w:r>
          </w:p>
        </w:tc>
        <w:tc>
          <w:tcPr>
            <w:tcW w:type="dxa" w:w="880"/>
            <w:tcBorders>
              <w:top w:val="none" w:color="FFFFFF" w:sz="0"/>
              <w:left w:val="none" w:color="FFFFFF" w:sz="0"/>
              <w:bottom w:val="single" w:color="BFBFBF" w:sz="4"/>
              <w:right w:val="none" w:color="FFFFFF" w:sz="0"/>
            </w:tcBorders>
            <w:tcMar>
              <w:top w:type="dxa" w:w="50"/>
              <w:left w:type="dxa" w:w="90"/>
              <w:bottom w:type="dxa" w:w="50"/>
              <w:right w:type="dxa" w:w="90"/>
            </w:tcMar>
          </w:tcPr>
          <w:p>
            <w:pPr>
              <w:keepNext/>
              <w:jc w:val="right"/>
            </w:pPr>
            <w:r>
              <w:rPr>
                <w:b w:val="false"/>
                <w:bCs w:val="false"/>
                <w:sz w:val="19"/>
                <w:szCs w:val="19"/>
              </w:rPr>
              <w:t xml:space="preserve">$298.74</w:t>
            </w:r>
          </w:p>
        </w:tc>
        <w:tc>
          <w:tcPr>
            <w:tcW w:type="dxa" w:w="1150"/>
            <w:tcBorders>
              <w:top w:val="none" w:color="FFFFFF" w:sz="0"/>
              <w:left w:val="none" w:color="FFFFFF" w:sz="0"/>
              <w:bottom w:val="single" w:color="BFBFBF" w:sz="4"/>
              <w:right w:val="none" w:color="FFFFFF" w:sz="0"/>
            </w:tcBorders>
            <w:tcMar>
              <w:top w:type="dxa" w:w="50"/>
              <w:left w:type="dxa" w:w="90"/>
              <w:bottom w:type="dxa" w:w="50"/>
              <w:right w:type="dxa" w:w="90"/>
            </w:tcMar>
          </w:tcPr>
          <w:p>
            <w:pPr>
              <w:keepNext/>
              <w:jc w:val="right"/>
            </w:pPr>
            <w:r>
              <w:rPr>
                <w:b w:val="false"/>
                <w:bCs w:val="false"/>
                <w:sz w:val="19"/>
                <w:szCs w:val="19"/>
              </w:rPr>
              <w:t xml:space="preserve">260 – 344</w:t>
            </w:r>
          </w:p>
        </w:tc>
        <w:tc>
          <w:tcPr>
            <w:tcW w:type="dxa" w:w="900"/>
            <w:tcBorders>
              <w:top w:val="none" w:color="FFFFFF" w:sz="0"/>
              <w:left w:val="none" w:color="FFFFFF" w:sz="0"/>
              <w:bottom w:val="single" w:color="BFBFBF" w:sz="4"/>
              <w:right w:val="none" w:color="FFFFFF" w:sz="0"/>
            </w:tcBorders>
            <w:tcMar>
              <w:top w:type="dxa" w:w="50"/>
              <w:left w:type="dxa" w:w="90"/>
              <w:bottom w:type="dxa" w:w="50"/>
              <w:right w:type="dxa" w:w="90"/>
            </w:tcMar>
          </w:tcPr>
          <w:p>
            <w:pPr>
              <w:keepNext/>
              <w:jc w:val="right"/>
            </w:pPr>
            <w:r>
              <w:rPr>
                <w:b w:val="false"/>
                <w:bCs w:val="false"/>
                <w:sz w:val="19"/>
                <w:szCs w:val="19"/>
              </w:rPr>
              <w:t xml:space="preserve">-5.1%</w:t>
            </w:r>
          </w:p>
        </w:tc>
        <w:tc>
          <w:tcPr>
            <w:tcW w:type="dxa" w:w="850"/>
            <w:tcBorders>
              <w:top w:val="none" w:color="FFFFFF" w:sz="0"/>
              <w:left w:val="none" w:color="FFFFFF" w:sz="0"/>
              <w:bottom w:val="single" w:color="BFBFBF" w:sz="4"/>
              <w:right w:val="none" w:color="FFFFFF" w:sz="0"/>
            </w:tcBorders>
            <w:tcMar>
              <w:top w:type="dxa" w:w="50"/>
              <w:left w:type="dxa" w:w="90"/>
              <w:bottom w:type="dxa" w:w="50"/>
              <w:right w:type="dxa" w:w="90"/>
            </w:tcMar>
          </w:tcPr>
          <w:p>
            <w:pPr>
              <w:keepNext/>
              <w:jc w:val="right"/>
            </w:pPr>
            <w:r>
              <w:rPr>
                <w:b w:val="false"/>
                <w:bCs w:val="false"/>
                <w:sz w:val="19"/>
                <w:szCs w:val="19"/>
              </w:rPr>
              <w:t xml:space="preserve">74.7%</w:t>
            </w:r>
          </w:p>
        </w:tc>
        <w:tc>
          <w:tcPr>
            <w:tcW w:type="dxa" w:w="1100"/>
            <w:tcBorders>
              <w:top w:val="none" w:color="FFFFFF" w:sz="0"/>
              <w:left w:val="none" w:color="FFFFFF" w:sz="0"/>
              <w:bottom w:val="single" w:color="BFBFBF" w:sz="4"/>
              <w:right w:val="none" w:color="FFFFFF" w:sz="0"/>
            </w:tcBorders>
            <w:tcMar>
              <w:top w:type="dxa" w:w="50"/>
              <w:left w:type="dxa" w:w="90"/>
              <w:bottom w:type="dxa" w:w="50"/>
              <w:right w:type="dxa" w:w="90"/>
            </w:tcMar>
          </w:tcPr>
          <w:p>
            <w:pPr>
              <w:keepNext/>
              <w:jc w:val="right"/>
            </w:pPr>
            <w:r>
              <w:rPr>
                <w:b w:val="false"/>
                <w:bCs w:val="false"/>
                <w:sz w:val="19"/>
                <w:szCs w:val="19"/>
              </w:rPr>
              <w:t xml:space="preserve">28.0%</w:t>
            </w:r>
          </w:p>
        </w:tc>
        <w:tc>
          <w:tcPr>
            <w:tcW w:type="dxa" w:w="1050"/>
            <w:tcBorders>
              <w:top w:val="none" w:color="FFFFFF" w:sz="0"/>
              <w:left w:val="none" w:color="FFFFFF" w:sz="0"/>
              <w:bottom w:val="single" w:color="BFBFBF" w:sz="4"/>
              <w:right w:val="none" w:color="FFFFFF" w:sz="0"/>
            </w:tcBorders>
            <w:tcMar>
              <w:top w:type="dxa" w:w="50"/>
              <w:left w:type="dxa" w:w="90"/>
              <w:bottom w:type="dxa" w:w="50"/>
              <w:right w:type="dxa" w:w="90"/>
            </w:tcMar>
          </w:tcPr>
          <w:p>
            <w:pPr>
              <w:keepNext/>
              <w:jc w:val="right"/>
            </w:pPr>
            <w:r>
              <w:rPr>
                <w:b w:val="false"/>
                <w:bCs w:val="false"/>
                <w:sz w:val="19"/>
                <w:szCs w:val="19"/>
              </w:rPr>
              <w:t xml:space="preserve">17.9%</w:t>
            </w:r>
          </w:p>
        </w:tc>
        <w:tc>
          <w:tcPr>
            <w:tcW w:type="dxa" w:w="1120"/>
            <w:tcBorders>
              <w:top w:val="none" w:color="FFFFFF" w:sz="0"/>
              <w:left w:val="none" w:color="FFFFFF" w:sz="0"/>
              <w:bottom w:val="single" w:color="BFBFBF" w:sz="4"/>
              <w:right w:val="none" w:color="FFFFFF" w:sz="0"/>
            </w:tcBorders>
            <w:tcMar>
              <w:top w:type="dxa" w:w="50"/>
              <w:left w:type="dxa" w:w="90"/>
              <w:bottom w:type="dxa" w:w="50"/>
              <w:right w:type="dxa" w:w="90"/>
            </w:tcMar>
          </w:tcPr>
          <w:p>
            <w:pPr>
              <w:keepNext/>
              <w:jc w:val="right"/>
            </w:pPr>
            <w:r>
              <w:rPr>
                <w:b w:val="false"/>
                <w:bCs w:val="false"/>
                <w:sz w:val="19"/>
                <w:szCs w:val="19"/>
              </w:rPr>
              <w:t xml:space="preserve">20.7%</w:t>
            </w:r>
          </w:p>
        </w:tc>
      </w:tr>
      <w:tr>
        <w:trPr>
          <w:cantSplit/>
        </w:trPr>
        <w:tc>
          <w:tcPr>
            <w:tcW w:type="dxa" w:w="1150"/>
            <w:tcBorders>
              <w:top w:val="none" w:color="FFFFFF" w:sz="0"/>
              <w:left w:val="none" w:color="FFFFFF" w:sz="0"/>
              <w:bottom w:val="single" w:color="BFBFBF" w:sz="4"/>
              <w:right w:val="none" w:color="FFFFFF" w:sz="0"/>
            </w:tcBorders>
            <w:shd w:fill="F7F7F7" w:color="auto" w:val="clear"/>
            <w:tcMar>
              <w:top w:type="dxa" w:w="50"/>
              <w:left w:type="dxa" w:w="90"/>
              <w:bottom w:type="dxa" w:w="50"/>
              <w:right w:type="dxa" w:w="90"/>
            </w:tcMar>
          </w:tcPr>
          <w:p>
            <w:pPr>
              <w:keepNext/>
              <w:jc w:val="left"/>
            </w:pPr>
            <w:r>
              <w:rPr>
                <w:b w:val="false"/>
                <w:bCs w:val="false"/>
                <w:sz w:val="19"/>
                <w:szCs w:val="19"/>
              </w:rPr>
              <w:t xml:space="preserve"/>
            </w:r>
          </w:p>
        </w:tc>
        <w:tc>
          <w:tcPr>
            <w:tcW w:type="dxa" w:w="560"/>
            <w:tcBorders>
              <w:top w:val="none" w:color="FFFFFF" w:sz="0"/>
              <w:left w:val="none" w:color="FFFFFF" w:sz="0"/>
              <w:bottom w:val="single" w:color="BFBFBF" w:sz="4"/>
              <w:right w:val="none" w:color="FFFFFF" w:sz="0"/>
            </w:tcBorders>
            <w:shd w:fill="F7F7F7" w:color="auto" w:val="clear"/>
            <w:tcMar>
              <w:top w:type="dxa" w:w="50"/>
              <w:left w:type="dxa" w:w="90"/>
              <w:bottom w:type="dxa" w:w="50"/>
              <w:right w:type="dxa" w:w="90"/>
            </w:tcMar>
          </w:tcPr>
          <w:p>
            <w:pPr>
              <w:keepNext/>
              <w:jc w:val="right"/>
            </w:pPr>
            <w:r>
              <w:rPr>
                <w:b w:val="false"/>
                <w:bCs w:val="false"/>
                <w:sz w:val="19"/>
                <w:szCs w:val="19"/>
              </w:rPr>
              <w:t xml:space="preserve">180</w:t>
            </w:r>
          </w:p>
        </w:tc>
        <w:tc>
          <w:tcPr>
            <w:tcW w:type="dxa" w:w="880"/>
            <w:tcBorders>
              <w:top w:val="none" w:color="FFFFFF" w:sz="0"/>
              <w:left w:val="none" w:color="FFFFFF" w:sz="0"/>
              <w:bottom w:val="single" w:color="BFBFBF" w:sz="4"/>
              <w:right w:val="none" w:color="FFFFFF" w:sz="0"/>
            </w:tcBorders>
            <w:shd w:fill="F7F7F7" w:color="auto" w:val="clear"/>
            <w:tcMar>
              <w:top w:type="dxa" w:w="50"/>
              <w:left w:type="dxa" w:w="90"/>
              <w:bottom w:type="dxa" w:w="50"/>
              <w:right w:type="dxa" w:w="90"/>
            </w:tcMar>
          </w:tcPr>
          <w:p>
            <w:pPr>
              <w:keepNext/>
              <w:jc w:val="right"/>
            </w:pPr>
            <w:r>
              <w:rPr>
                <w:b w:val="false"/>
                <w:bCs w:val="false"/>
                <w:sz w:val="19"/>
                <w:szCs w:val="19"/>
              </w:rPr>
              <w:t xml:space="preserve">$311.23</w:t>
            </w:r>
          </w:p>
        </w:tc>
        <w:tc>
          <w:tcPr>
            <w:tcW w:type="dxa" w:w="880"/>
            <w:tcBorders>
              <w:top w:val="none" w:color="FFFFFF" w:sz="0"/>
              <w:left w:val="none" w:color="FFFFFF" w:sz="0"/>
              <w:bottom w:val="single" w:color="BFBFBF" w:sz="4"/>
              <w:right w:val="none" w:color="FFFFFF" w:sz="0"/>
            </w:tcBorders>
            <w:shd w:fill="F7F7F7" w:color="auto" w:val="clear"/>
            <w:tcMar>
              <w:top w:type="dxa" w:w="50"/>
              <w:left w:type="dxa" w:w="90"/>
              <w:bottom w:type="dxa" w:w="50"/>
              <w:right w:type="dxa" w:w="90"/>
            </w:tcMar>
          </w:tcPr>
          <w:p>
            <w:pPr>
              <w:keepNext/>
              <w:jc w:val="right"/>
            </w:pPr>
            <w:r>
              <w:rPr>
                <w:b w:val="false"/>
                <w:bCs w:val="false"/>
                <w:sz w:val="19"/>
                <w:szCs w:val="19"/>
              </w:rPr>
              <w:t xml:space="preserve">$309.91</w:t>
            </w:r>
          </w:p>
        </w:tc>
        <w:tc>
          <w:tcPr>
            <w:tcW w:type="dxa" w:w="1150"/>
            <w:tcBorders>
              <w:top w:val="none" w:color="FFFFFF" w:sz="0"/>
              <w:left w:val="none" w:color="FFFFFF" w:sz="0"/>
              <w:bottom w:val="single" w:color="BFBFBF" w:sz="4"/>
              <w:right w:val="none" w:color="FFFFFF" w:sz="0"/>
            </w:tcBorders>
            <w:shd w:fill="F7F7F7" w:color="auto" w:val="clear"/>
            <w:tcMar>
              <w:top w:type="dxa" w:w="50"/>
              <w:left w:type="dxa" w:w="90"/>
              <w:bottom w:type="dxa" w:w="50"/>
              <w:right w:type="dxa" w:w="90"/>
            </w:tcMar>
          </w:tcPr>
          <w:p>
            <w:pPr>
              <w:keepNext/>
              <w:jc w:val="right"/>
            </w:pPr>
            <w:r>
              <w:rPr>
                <w:b w:val="false"/>
                <w:bCs w:val="false"/>
                <w:sz w:val="19"/>
                <w:szCs w:val="19"/>
              </w:rPr>
              <w:t xml:space="preserve">268 – 359</w:t>
            </w:r>
          </w:p>
        </w:tc>
        <w:tc>
          <w:tcPr>
            <w:tcW w:type="dxa" w:w="900"/>
            <w:tcBorders>
              <w:top w:val="none" w:color="FFFFFF" w:sz="0"/>
              <w:left w:val="none" w:color="FFFFFF" w:sz="0"/>
              <w:bottom w:val="single" w:color="BFBFBF" w:sz="4"/>
              <w:right w:val="none" w:color="FFFFFF" w:sz="0"/>
            </w:tcBorders>
            <w:shd w:fill="F7F7F7" w:color="auto" w:val="clear"/>
            <w:tcMar>
              <w:top w:type="dxa" w:w="50"/>
              <w:left w:type="dxa" w:w="90"/>
              <w:bottom w:type="dxa" w:w="50"/>
              <w:right w:type="dxa" w:w="90"/>
            </w:tcMar>
          </w:tcPr>
          <w:p>
            <w:pPr>
              <w:keepNext/>
              <w:jc w:val="right"/>
            </w:pPr>
            <w:r>
              <w:rPr>
                <w:b w:val="false"/>
                <w:bCs w:val="false"/>
                <w:sz w:val="19"/>
                <w:szCs w:val="19"/>
              </w:rPr>
              <w:t xml:space="preserve">-1.6%</w:t>
            </w:r>
          </w:p>
        </w:tc>
        <w:tc>
          <w:tcPr>
            <w:tcW w:type="dxa" w:w="850"/>
            <w:tcBorders>
              <w:top w:val="none" w:color="FFFFFF" w:sz="0"/>
              <w:left w:val="none" w:color="FFFFFF" w:sz="0"/>
              <w:bottom w:val="single" w:color="BFBFBF" w:sz="4"/>
              <w:right w:val="none" w:color="FFFFFF" w:sz="0"/>
            </w:tcBorders>
            <w:shd w:fill="F7F7F7" w:color="auto" w:val="clear"/>
            <w:tcMar>
              <w:top w:type="dxa" w:w="50"/>
              <w:left w:type="dxa" w:w="90"/>
              <w:bottom w:type="dxa" w:w="50"/>
              <w:right w:type="dxa" w:w="90"/>
            </w:tcMar>
          </w:tcPr>
          <w:p>
            <w:pPr>
              <w:keepNext/>
              <w:jc w:val="right"/>
            </w:pPr>
            <w:r>
              <w:rPr>
                <w:b w:val="false"/>
                <w:bCs w:val="false"/>
                <w:sz w:val="19"/>
                <w:szCs w:val="19"/>
              </w:rPr>
              <w:t xml:space="preserve">58.6%</w:t>
            </w:r>
          </w:p>
        </w:tc>
        <w:tc>
          <w:tcPr>
            <w:tcW w:type="dxa" w:w="1100"/>
            <w:tcBorders>
              <w:top w:val="none" w:color="FFFFFF" w:sz="0"/>
              <w:left w:val="none" w:color="FFFFFF" w:sz="0"/>
              <w:bottom w:val="single" w:color="BFBFBF" w:sz="4"/>
              <w:right w:val="none" w:color="FFFFFF" w:sz="0"/>
            </w:tcBorders>
            <w:shd w:fill="F7F7F7" w:color="auto" w:val="clear"/>
            <w:tcMar>
              <w:top w:type="dxa" w:w="50"/>
              <w:left w:type="dxa" w:w="90"/>
              <w:bottom w:type="dxa" w:w="50"/>
              <w:right w:type="dxa" w:w="90"/>
            </w:tcMar>
          </w:tcPr>
          <w:p>
            <w:pPr>
              <w:keepNext/>
              <w:jc w:val="right"/>
            </w:pPr>
            <w:r>
              <w:rPr>
                <w:b w:val="false"/>
                <w:bCs w:val="false"/>
                <w:sz w:val="19"/>
                <w:szCs w:val="19"/>
              </w:rPr>
              <w:t xml:space="preserve">17.1%</w:t>
            </w:r>
          </w:p>
        </w:tc>
        <w:tc>
          <w:tcPr>
            <w:tcW w:type="dxa" w:w="1050"/>
            <w:tcBorders>
              <w:top w:val="none" w:color="FFFFFF" w:sz="0"/>
              <w:left w:val="none" w:color="FFFFFF" w:sz="0"/>
              <w:bottom w:val="single" w:color="BFBFBF" w:sz="4"/>
              <w:right w:val="none" w:color="FFFFFF" w:sz="0"/>
            </w:tcBorders>
            <w:shd w:fill="F7F7F7" w:color="auto" w:val="clear"/>
            <w:tcMar>
              <w:top w:type="dxa" w:w="50"/>
              <w:left w:type="dxa" w:w="90"/>
              <w:bottom w:type="dxa" w:w="50"/>
              <w:right w:type="dxa" w:w="90"/>
            </w:tcMar>
          </w:tcPr>
          <w:p>
            <w:pPr>
              <w:keepNext/>
              <w:jc w:val="right"/>
            </w:pPr>
            <w:r>
              <w:rPr>
                <w:b w:val="false"/>
                <w:bCs w:val="false"/>
                <w:sz w:val="19"/>
                <w:szCs w:val="19"/>
              </w:rPr>
              <w:t xml:space="preserve">15.3%</w:t>
            </w:r>
          </w:p>
        </w:tc>
        <w:tc>
          <w:tcPr>
            <w:tcW w:type="dxa" w:w="1120"/>
            <w:tcBorders>
              <w:top w:val="none" w:color="FFFFFF" w:sz="0"/>
              <w:left w:val="none" w:color="FFFFFF" w:sz="0"/>
              <w:bottom w:val="single" w:color="BFBFBF" w:sz="4"/>
              <w:right w:val="none" w:color="FFFFFF" w:sz="0"/>
            </w:tcBorders>
            <w:shd w:fill="F7F7F7" w:color="auto" w:val="clear"/>
            <w:tcMar>
              <w:top w:type="dxa" w:w="50"/>
              <w:left w:type="dxa" w:w="90"/>
              <w:bottom w:type="dxa" w:w="50"/>
              <w:right w:type="dxa" w:w="90"/>
            </w:tcMar>
          </w:tcPr>
          <w:p>
            <w:pPr>
              <w:keepNext/>
              <w:jc w:val="right"/>
            </w:pPr>
            <w:r>
              <w:rPr>
                <w:b w:val="false"/>
                <w:bCs w:val="false"/>
                <w:sz w:val="19"/>
                <w:szCs w:val="19"/>
              </w:rPr>
              <w:t xml:space="preserve">18.2%</w:t>
            </w:r>
          </w:p>
        </w:tc>
      </w:tr>
      <w:tr>
        <w:trPr>
          <w:cantSplit/>
        </w:trPr>
        <w:tc>
          <w:tcPr>
            <w:tcW w:type="dxa" w:w="1150"/>
            <w:tcBorders>
              <w:top w:val="none" w:color="FFFFFF" w:sz="0"/>
              <w:left w:val="none" w:color="FFFFFF" w:sz="0"/>
              <w:bottom w:val="single" w:color="BFBFBF" w:sz="4"/>
              <w:right w:val="none" w:color="FFFFFF" w:sz="0"/>
            </w:tcBorders>
            <w:tcMar>
              <w:top w:type="dxa" w:w="50"/>
              <w:left w:type="dxa" w:w="90"/>
              <w:bottom w:type="dxa" w:w="50"/>
              <w:right w:type="dxa" w:w="90"/>
            </w:tcMar>
          </w:tcPr>
          <w:p>
            <w:pPr>
              <w:keepNext/>
              <w:jc w:val="left"/>
            </w:pPr>
            <w:r>
              <w:rPr>
                <w:b w:val="false"/>
                <w:bCs w:val="false"/>
                <w:sz w:val="19"/>
                <w:szCs w:val="19"/>
              </w:rPr>
              <w:t xml:space="preserve">Merton JD</w:t>
            </w:r>
          </w:p>
        </w:tc>
        <w:tc>
          <w:tcPr>
            <w:tcW w:type="dxa" w:w="560"/>
            <w:tcBorders>
              <w:top w:val="none" w:color="FFFFFF" w:sz="0"/>
              <w:left w:val="none" w:color="FFFFFF" w:sz="0"/>
              <w:bottom w:val="single" w:color="BFBFBF" w:sz="4"/>
              <w:right w:val="none" w:color="FFFFFF" w:sz="0"/>
            </w:tcBorders>
            <w:tcMar>
              <w:top w:type="dxa" w:w="50"/>
              <w:left w:type="dxa" w:w="90"/>
              <w:bottom w:type="dxa" w:w="50"/>
              <w:right w:type="dxa" w:w="90"/>
            </w:tcMar>
          </w:tcPr>
          <w:p>
            <w:pPr>
              <w:keepNext/>
              <w:jc w:val="right"/>
            </w:pPr>
            <w:r>
              <w:rPr>
                <w:b w:val="false"/>
                <w:bCs w:val="false"/>
                <w:sz w:val="19"/>
                <w:szCs w:val="19"/>
              </w:rPr>
              <w:t xml:space="preserve">30</w:t>
            </w:r>
          </w:p>
        </w:tc>
        <w:tc>
          <w:tcPr>
            <w:tcW w:type="dxa" w:w="880"/>
            <w:tcBorders>
              <w:top w:val="none" w:color="FFFFFF" w:sz="0"/>
              <w:left w:val="none" w:color="FFFFFF" w:sz="0"/>
              <w:bottom w:val="single" w:color="BFBFBF" w:sz="4"/>
              <w:right w:val="none" w:color="FFFFFF" w:sz="0"/>
            </w:tcBorders>
            <w:tcMar>
              <w:top w:type="dxa" w:w="50"/>
              <w:left w:type="dxa" w:w="90"/>
              <w:bottom w:type="dxa" w:w="50"/>
              <w:right w:type="dxa" w:w="90"/>
            </w:tcMar>
          </w:tcPr>
          <w:p>
            <w:pPr>
              <w:keepNext/>
              <w:jc w:val="right"/>
            </w:pPr>
            <w:r>
              <w:rPr>
                <w:b w:val="false"/>
                <w:bCs w:val="false"/>
                <w:sz w:val="19"/>
                <w:szCs w:val="19"/>
              </w:rPr>
              <w:t xml:space="preserve">$325.10</w:t>
            </w:r>
          </w:p>
        </w:tc>
        <w:tc>
          <w:tcPr>
            <w:tcW w:type="dxa" w:w="880"/>
            <w:tcBorders>
              <w:top w:val="none" w:color="FFFFFF" w:sz="0"/>
              <w:left w:val="none" w:color="FFFFFF" w:sz="0"/>
              <w:bottom w:val="single" w:color="BFBFBF" w:sz="4"/>
              <w:right w:val="none" w:color="FFFFFF" w:sz="0"/>
            </w:tcBorders>
            <w:tcMar>
              <w:top w:type="dxa" w:w="50"/>
              <w:left w:type="dxa" w:w="90"/>
              <w:bottom w:type="dxa" w:w="50"/>
              <w:right w:type="dxa" w:w="90"/>
            </w:tcMar>
          </w:tcPr>
          <w:p>
            <w:pPr>
              <w:keepNext/>
              <w:jc w:val="right"/>
            </w:pPr>
            <w:r>
              <w:rPr>
                <w:b w:val="false"/>
                <w:bCs w:val="false"/>
                <w:sz w:val="19"/>
                <w:szCs w:val="19"/>
              </w:rPr>
              <w:t xml:space="preserve">$324.45</w:t>
            </w:r>
          </w:p>
        </w:tc>
        <w:tc>
          <w:tcPr>
            <w:tcW w:type="dxa" w:w="1150"/>
            <w:tcBorders>
              <w:top w:val="none" w:color="FFFFFF" w:sz="0"/>
              <w:left w:val="none" w:color="FFFFFF" w:sz="0"/>
              <w:bottom w:val="single" w:color="BFBFBF" w:sz="4"/>
              <w:right w:val="none" w:color="FFFFFF" w:sz="0"/>
            </w:tcBorders>
            <w:tcMar>
              <w:top w:type="dxa" w:w="50"/>
              <w:left w:type="dxa" w:w="90"/>
              <w:bottom w:type="dxa" w:w="50"/>
              <w:right w:type="dxa" w:w="90"/>
            </w:tcMar>
          </w:tcPr>
          <w:p>
            <w:pPr>
              <w:keepNext/>
              <w:jc w:val="right"/>
            </w:pPr>
            <w:r>
              <w:rPr>
                <w:b w:val="false"/>
                <w:bCs w:val="false"/>
                <w:sz w:val="19"/>
                <w:szCs w:val="19"/>
              </w:rPr>
              <w:t xml:space="preserve">277 – 375</w:t>
            </w:r>
          </w:p>
        </w:tc>
        <w:tc>
          <w:tcPr>
            <w:tcW w:type="dxa" w:w="900"/>
            <w:tcBorders>
              <w:top w:val="none" w:color="FFFFFF" w:sz="0"/>
              <w:left w:val="none" w:color="FFFFFF" w:sz="0"/>
              <w:bottom w:val="single" w:color="BFBFBF" w:sz="4"/>
              <w:right w:val="none" w:color="FFFFFF" w:sz="0"/>
            </w:tcBorders>
            <w:tcMar>
              <w:top w:type="dxa" w:w="50"/>
              <w:left w:type="dxa" w:w="90"/>
              <w:bottom w:type="dxa" w:w="50"/>
              <w:right w:type="dxa" w:w="90"/>
            </w:tcMar>
          </w:tcPr>
          <w:p>
            <w:pPr>
              <w:keepNext/>
              <w:jc w:val="right"/>
            </w:pPr>
            <w:r>
              <w:rPr>
                <w:b w:val="false"/>
                <w:bCs w:val="false"/>
                <w:sz w:val="19"/>
                <w:szCs w:val="19"/>
              </w:rPr>
              <w:t xml:space="preserve">2.8%</w:t>
            </w:r>
          </w:p>
        </w:tc>
        <w:tc>
          <w:tcPr>
            <w:tcW w:type="dxa" w:w="850"/>
            <w:tcBorders>
              <w:top w:val="none" w:color="FFFFFF" w:sz="0"/>
              <w:left w:val="none" w:color="FFFFFF" w:sz="0"/>
              <w:bottom w:val="single" w:color="BFBFBF" w:sz="4"/>
              <w:right w:val="none" w:color="FFFFFF" w:sz="0"/>
            </w:tcBorders>
            <w:tcMar>
              <w:top w:type="dxa" w:w="50"/>
              <w:left w:type="dxa" w:w="90"/>
              <w:bottom w:type="dxa" w:w="50"/>
              <w:right w:type="dxa" w:w="90"/>
            </w:tcMar>
          </w:tcPr>
          <w:p>
            <w:pPr>
              <w:keepNext/>
              <w:jc w:val="right"/>
            </w:pPr>
            <w:r>
              <w:rPr>
                <w:b w:val="false"/>
                <w:bCs w:val="false"/>
                <w:sz w:val="19"/>
                <w:szCs w:val="19"/>
              </w:rPr>
              <w:t xml:space="preserve">39.1%</w:t>
            </w:r>
          </w:p>
        </w:tc>
        <w:tc>
          <w:tcPr>
            <w:tcW w:type="dxa" w:w="1100"/>
            <w:tcBorders>
              <w:top w:val="none" w:color="FFFFFF" w:sz="0"/>
              <w:left w:val="none" w:color="FFFFFF" w:sz="0"/>
              <w:bottom w:val="single" w:color="BFBFBF" w:sz="4"/>
              <w:right w:val="none" w:color="FFFFFF" w:sz="0"/>
            </w:tcBorders>
            <w:tcMar>
              <w:top w:type="dxa" w:w="50"/>
              <w:left w:type="dxa" w:w="90"/>
              <w:bottom w:type="dxa" w:w="50"/>
              <w:right w:type="dxa" w:w="90"/>
            </w:tcMar>
          </w:tcPr>
          <w:p>
            <w:pPr>
              <w:keepNext/>
              <w:jc w:val="right"/>
            </w:pPr>
            <w:r>
              <w:rPr>
                <w:b w:val="false"/>
                <w:bCs w:val="false"/>
                <w:sz w:val="19"/>
                <w:szCs w:val="19"/>
              </w:rPr>
              <w:t xml:space="preserve">8.2%</w:t>
            </w:r>
          </w:p>
        </w:tc>
        <w:tc>
          <w:tcPr>
            <w:tcW w:type="dxa" w:w="1050"/>
            <w:tcBorders>
              <w:top w:val="none" w:color="FFFFFF" w:sz="0"/>
              <w:left w:val="none" w:color="FFFFFF" w:sz="0"/>
              <w:bottom w:val="single" w:color="BFBFBF" w:sz="4"/>
              <w:right w:val="none" w:color="FFFFFF" w:sz="0"/>
            </w:tcBorders>
            <w:tcMar>
              <w:top w:type="dxa" w:w="50"/>
              <w:left w:type="dxa" w:w="90"/>
              <w:bottom w:type="dxa" w:w="50"/>
              <w:right w:type="dxa" w:w="90"/>
            </w:tcMar>
          </w:tcPr>
          <w:p>
            <w:pPr>
              <w:keepNext/>
              <w:jc w:val="right"/>
            </w:pPr>
            <w:r>
              <w:rPr>
                <w:b w:val="false"/>
                <w:bCs w:val="false"/>
                <w:sz w:val="19"/>
                <w:szCs w:val="19"/>
              </w:rPr>
              <w:t xml:space="preserve">12.4%</w:t>
            </w:r>
          </w:p>
        </w:tc>
        <w:tc>
          <w:tcPr>
            <w:tcW w:type="dxa" w:w="1120"/>
            <w:tcBorders>
              <w:top w:val="none" w:color="FFFFFF" w:sz="0"/>
              <w:left w:val="none" w:color="FFFFFF" w:sz="0"/>
              <w:bottom w:val="single" w:color="BFBFBF" w:sz="4"/>
              <w:right w:val="none" w:color="FFFFFF" w:sz="0"/>
            </w:tcBorders>
            <w:tcMar>
              <w:top w:type="dxa" w:w="50"/>
              <w:left w:type="dxa" w:w="90"/>
              <w:bottom w:type="dxa" w:w="50"/>
              <w:right w:type="dxa" w:w="90"/>
            </w:tcMar>
          </w:tcPr>
          <w:p>
            <w:pPr>
              <w:keepNext/>
              <w:jc w:val="right"/>
            </w:pPr>
            <w:r>
              <w:rPr>
                <w:b w:val="false"/>
                <w:bCs w:val="false"/>
                <w:sz w:val="19"/>
                <w:szCs w:val="19"/>
              </w:rPr>
              <w:t xml:space="preserve">16.2%</w:t>
            </w:r>
          </w:p>
        </w:tc>
      </w:tr>
      <w:tr>
        <w:trPr>
          <w:cantSplit/>
        </w:trPr>
        <w:tc>
          <w:tcPr>
            <w:tcW w:type="dxa" w:w="1150"/>
            <w:tcBorders>
              <w:top w:val="none" w:color="FFFFFF" w:sz="0"/>
              <w:left w:val="none" w:color="FFFFFF" w:sz="0"/>
              <w:bottom w:val="single" w:color="BFBFBF" w:sz="4"/>
              <w:right w:val="none" w:color="FFFFFF" w:sz="0"/>
            </w:tcBorders>
            <w:shd w:fill="F7F7F7" w:color="auto" w:val="clear"/>
            <w:tcMar>
              <w:top w:type="dxa" w:w="50"/>
              <w:left w:type="dxa" w:w="90"/>
              <w:bottom w:type="dxa" w:w="50"/>
              <w:right w:type="dxa" w:w="90"/>
            </w:tcMar>
          </w:tcPr>
          <w:p>
            <w:pPr>
              <w:keepNext/>
              <w:jc w:val="left"/>
            </w:pPr>
            <w:r>
              <w:rPr>
                <w:b w:val="false"/>
                <w:bCs w:val="false"/>
                <w:sz w:val="19"/>
                <w:szCs w:val="19"/>
              </w:rPr>
              <w:t xml:space="preserve"/>
            </w:r>
          </w:p>
        </w:tc>
        <w:tc>
          <w:tcPr>
            <w:tcW w:type="dxa" w:w="560"/>
            <w:tcBorders>
              <w:top w:val="none" w:color="FFFFFF" w:sz="0"/>
              <w:left w:val="none" w:color="FFFFFF" w:sz="0"/>
              <w:bottom w:val="single" w:color="BFBFBF" w:sz="4"/>
              <w:right w:val="none" w:color="FFFFFF" w:sz="0"/>
            </w:tcBorders>
            <w:shd w:fill="F7F7F7" w:color="auto" w:val="clear"/>
            <w:tcMar>
              <w:top w:type="dxa" w:w="50"/>
              <w:left w:type="dxa" w:w="90"/>
              <w:bottom w:type="dxa" w:w="50"/>
              <w:right w:type="dxa" w:w="90"/>
            </w:tcMar>
          </w:tcPr>
          <w:p>
            <w:pPr>
              <w:keepNext/>
              <w:jc w:val="right"/>
            </w:pPr>
            <w:r>
              <w:rPr>
                <w:b w:val="false"/>
                <w:bCs w:val="false"/>
                <w:sz w:val="19"/>
                <w:szCs w:val="19"/>
              </w:rPr>
              <w:t xml:space="preserve">60</w:t>
            </w:r>
          </w:p>
        </w:tc>
        <w:tc>
          <w:tcPr>
            <w:tcW w:type="dxa" w:w="880"/>
            <w:tcBorders>
              <w:top w:val="none" w:color="FFFFFF" w:sz="0"/>
              <w:left w:val="none" w:color="FFFFFF" w:sz="0"/>
              <w:bottom w:val="single" w:color="BFBFBF" w:sz="4"/>
              <w:right w:val="none" w:color="FFFFFF" w:sz="0"/>
            </w:tcBorders>
            <w:shd w:fill="F7F7F7" w:color="auto" w:val="clear"/>
            <w:tcMar>
              <w:top w:type="dxa" w:w="50"/>
              <w:left w:type="dxa" w:w="90"/>
              <w:bottom w:type="dxa" w:w="50"/>
              <w:right w:type="dxa" w:w="90"/>
            </w:tcMar>
          </w:tcPr>
          <w:p>
            <w:pPr>
              <w:keepNext/>
              <w:jc w:val="right"/>
            </w:pPr>
            <w:r>
              <w:rPr>
                <w:b w:val="false"/>
                <w:bCs w:val="false"/>
                <w:sz w:val="19"/>
                <w:szCs w:val="19"/>
              </w:rPr>
              <w:t xml:space="preserve">$334.49</w:t>
            </w:r>
          </w:p>
        </w:tc>
        <w:tc>
          <w:tcPr>
            <w:tcW w:type="dxa" w:w="880"/>
            <w:tcBorders>
              <w:top w:val="none" w:color="FFFFFF" w:sz="0"/>
              <w:left w:val="none" w:color="FFFFFF" w:sz="0"/>
              <w:bottom w:val="single" w:color="BFBFBF" w:sz="4"/>
              <w:right w:val="none" w:color="FFFFFF" w:sz="0"/>
            </w:tcBorders>
            <w:shd w:fill="F7F7F7" w:color="auto" w:val="clear"/>
            <w:tcMar>
              <w:top w:type="dxa" w:w="50"/>
              <w:left w:type="dxa" w:w="90"/>
              <w:bottom w:type="dxa" w:w="50"/>
              <w:right w:type="dxa" w:w="90"/>
            </w:tcMar>
          </w:tcPr>
          <w:p>
            <w:pPr>
              <w:keepNext/>
              <w:jc w:val="right"/>
            </w:pPr>
            <w:r>
              <w:rPr>
                <w:b w:val="false"/>
                <w:bCs w:val="false"/>
                <w:sz w:val="19"/>
                <w:szCs w:val="19"/>
              </w:rPr>
              <w:t xml:space="preserve">$332.27</w:t>
            </w:r>
          </w:p>
        </w:tc>
        <w:tc>
          <w:tcPr>
            <w:tcW w:type="dxa" w:w="1150"/>
            <w:tcBorders>
              <w:top w:val="none" w:color="FFFFFF" w:sz="0"/>
              <w:left w:val="none" w:color="FFFFFF" w:sz="0"/>
              <w:bottom w:val="single" w:color="BFBFBF" w:sz="4"/>
              <w:right w:val="none" w:color="FFFFFF" w:sz="0"/>
            </w:tcBorders>
            <w:shd w:fill="F7F7F7" w:color="auto" w:val="clear"/>
            <w:tcMar>
              <w:top w:type="dxa" w:w="50"/>
              <w:left w:type="dxa" w:w="90"/>
              <w:bottom w:type="dxa" w:w="50"/>
              <w:right w:type="dxa" w:w="90"/>
            </w:tcMar>
          </w:tcPr>
          <w:p>
            <w:pPr>
              <w:keepNext/>
              <w:jc w:val="right"/>
            </w:pPr>
            <w:r>
              <w:rPr>
                <w:b w:val="false"/>
                <w:bCs w:val="false"/>
                <w:sz w:val="19"/>
                <w:szCs w:val="19"/>
              </w:rPr>
              <w:t xml:space="preserve">266 – 409</w:t>
            </w:r>
          </w:p>
        </w:tc>
        <w:tc>
          <w:tcPr>
            <w:tcW w:type="dxa" w:w="900"/>
            <w:tcBorders>
              <w:top w:val="none" w:color="FFFFFF" w:sz="0"/>
              <w:left w:val="none" w:color="FFFFFF" w:sz="0"/>
              <w:bottom w:val="single" w:color="BFBFBF" w:sz="4"/>
              <w:right w:val="none" w:color="FFFFFF" w:sz="0"/>
            </w:tcBorders>
            <w:shd w:fill="F7F7F7" w:color="auto" w:val="clear"/>
            <w:tcMar>
              <w:top w:type="dxa" w:w="50"/>
              <w:left w:type="dxa" w:w="90"/>
              <w:bottom w:type="dxa" w:w="50"/>
              <w:right w:type="dxa" w:w="90"/>
            </w:tcMar>
          </w:tcPr>
          <w:p>
            <w:pPr>
              <w:keepNext/>
              <w:jc w:val="right"/>
            </w:pPr>
            <w:r>
              <w:rPr>
                <w:b w:val="false"/>
                <w:bCs w:val="false"/>
                <w:sz w:val="19"/>
                <w:szCs w:val="19"/>
              </w:rPr>
              <w:t xml:space="preserve">5.8%</w:t>
            </w:r>
          </w:p>
        </w:tc>
        <w:tc>
          <w:tcPr>
            <w:tcW w:type="dxa" w:w="850"/>
            <w:tcBorders>
              <w:top w:val="none" w:color="FFFFFF" w:sz="0"/>
              <w:left w:val="none" w:color="FFFFFF" w:sz="0"/>
              <w:bottom w:val="single" w:color="BFBFBF" w:sz="4"/>
              <w:right w:val="none" w:color="FFFFFF" w:sz="0"/>
            </w:tcBorders>
            <w:shd w:fill="F7F7F7" w:color="auto" w:val="clear"/>
            <w:tcMar>
              <w:top w:type="dxa" w:w="50"/>
              <w:left w:type="dxa" w:w="90"/>
              <w:bottom w:type="dxa" w:w="50"/>
              <w:right w:type="dxa" w:w="90"/>
            </w:tcMar>
          </w:tcPr>
          <w:p>
            <w:pPr>
              <w:keepNext/>
              <w:jc w:val="right"/>
            </w:pPr>
            <w:r>
              <w:rPr>
                <w:b w:val="false"/>
                <w:bCs w:val="false"/>
                <w:sz w:val="19"/>
                <w:szCs w:val="19"/>
              </w:rPr>
              <w:t xml:space="preserve">35.2%</w:t>
            </w:r>
          </w:p>
        </w:tc>
        <w:tc>
          <w:tcPr>
            <w:tcW w:type="dxa" w:w="1100"/>
            <w:tcBorders>
              <w:top w:val="none" w:color="FFFFFF" w:sz="0"/>
              <w:left w:val="none" w:color="FFFFFF" w:sz="0"/>
              <w:bottom w:val="single" w:color="BFBFBF" w:sz="4"/>
              <w:right w:val="none" w:color="FFFFFF" w:sz="0"/>
            </w:tcBorders>
            <w:shd w:fill="F7F7F7" w:color="auto" w:val="clear"/>
            <w:tcMar>
              <w:top w:type="dxa" w:w="50"/>
              <w:left w:type="dxa" w:w="90"/>
              <w:bottom w:type="dxa" w:w="50"/>
              <w:right w:type="dxa" w:w="90"/>
            </w:tcMar>
          </w:tcPr>
          <w:p>
            <w:pPr>
              <w:keepNext/>
              <w:jc w:val="right"/>
            </w:pPr>
            <w:r>
              <w:rPr>
                <w:b w:val="false"/>
                <w:bCs w:val="false"/>
                <w:sz w:val="19"/>
                <w:szCs w:val="19"/>
              </w:rPr>
              <w:t xml:space="preserve">12.0%</w:t>
            </w:r>
          </w:p>
        </w:tc>
        <w:tc>
          <w:tcPr>
            <w:tcW w:type="dxa" w:w="1050"/>
            <w:tcBorders>
              <w:top w:val="none" w:color="FFFFFF" w:sz="0"/>
              <w:left w:val="none" w:color="FFFFFF" w:sz="0"/>
              <w:bottom w:val="single" w:color="BFBFBF" w:sz="4"/>
              <w:right w:val="none" w:color="FFFFFF" w:sz="0"/>
            </w:tcBorders>
            <w:shd w:fill="F7F7F7" w:color="auto" w:val="clear"/>
            <w:tcMar>
              <w:top w:type="dxa" w:w="50"/>
              <w:left w:type="dxa" w:w="90"/>
              <w:bottom w:type="dxa" w:w="50"/>
              <w:right w:type="dxa" w:w="90"/>
            </w:tcMar>
          </w:tcPr>
          <w:p>
            <w:pPr>
              <w:keepNext/>
              <w:jc w:val="right"/>
            </w:pPr>
            <w:r>
              <w:rPr>
                <w:b w:val="false"/>
                <w:bCs w:val="false"/>
                <w:sz w:val="19"/>
                <w:szCs w:val="19"/>
              </w:rPr>
              <w:t xml:space="preserve">15.8%</w:t>
            </w:r>
          </w:p>
        </w:tc>
        <w:tc>
          <w:tcPr>
            <w:tcW w:type="dxa" w:w="1120"/>
            <w:tcBorders>
              <w:top w:val="none" w:color="FFFFFF" w:sz="0"/>
              <w:left w:val="none" w:color="FFFFFF" w:sz="0"/>
              <w:bottom w:val="single" w:color="BFBFBF" w:sz="4"/>
              <w:right w:val="none" w:color="FFFFFF" w:sz="0"/>
            </w:tcBorders>
            <w:shd w:fill="F7F7F7" w:color="auto" w:val="clear"/>
            <w:tcMar>
              <w:top w:type="dxa" w:w="50"/>
              <w:left w:type="dxa" w:w="90"/>
              <w:bottom w:type="dxa" w:w="50"/>
              <w:right w:type="dxa" w:w="90"/>
            </w:tcMar>
          </w:tcPr>
          <w:p>
            <w:pPr>
              <w:keepNext/>
              <w:jc w:val="right"/>
            </w:pPr>
            <w:r>
              <w:rPr>
                <w:b w:val="false"/>
                <w:bCs w:val="false"/>
                <w:sz w:val="19"/>
                <w:szCs w:val="19"/>
              </w:rPr>
              <w:t xml:space="preserve">20.6%</w:t>
            </w:r>
          </w:p>
        </w:tc>
      </w:tr>
      <w:tr>
        <w:trPr>
          <w:cantSplit/>
        </w:trPr>
        <w:tc>
          <w:tcPr>
            <w:tcW w:type="dxa" w:w="1150"/>
            <w:tcBorders>
              <w:top w:val="none" w:color="FFFFFF" w:sz="0"/>
              <w:left w:val="none" w:color="FFFFFF" w:sz="0"/>
              <w:bottom w:val="single" w:color="BFBFBF" w:sz="4"/>
              <w:right w:val="none" w:color="FFFFFF" w:sz="0"/>
            </w:tcBorders>
            <w:tcMar>
              <w:top w:type="dxa" w:w="50"/>
              <w:left w:type="dxa" w:w="90"/>
              <w:bottom w:type="dxa" w:w="50"/>
              <w:right w:type="dxa" w:w="90"/>
            </w:tcMar>
          </w:tcPr>
          <w:p>
            <w:pPr>
              <w:keepNext w:val="false"/>
              <w:jc w:val="left"/>
            </w:pPr>
            <w:r>
              <w:rPr>
                <w:b w:val="false"/>
                <w:bCs w:val="false"/>
                <w:sz w:val="19"/>
                <w:szCs w:val="19"/>
              </w:rPr>
              <w:t xml:space="preserve"/>
            </w:r>
          </w:p>
        </w:tc>
        <w:tc>
          <w:tcPr>
            <w:tcW w:type="dxa" w:w="560"/>
            <w:tcBorders>
              <w:top w:val="none" w:color="FFFFFF" w:sz="0"/>
              <w:left w:val="none" w:color="FFFFFF" w:sz="0"/>
              <w:bottom w:val="single" w:color="BFBFBF" w:sz="4"/>
              <w:right w:val="none" w:color="FFFFFF" w:sz="0"/>
            </w:tcBorders>
            <w:tcMar>
              <w:top w:type="dxa" w:w="50"/>
              <w:left w:type="dxa" w:w="90"/>
              <w:bottom w:type="dxa" w:w="50"/>
              <w:right w:type="dxa" w:w="90"/>
            </w:tcMar>
          </w:tcPr>
          <w:p>
            <w:pPr>
              <w:keepNext w:val="false"/>
              <w:jc w:val="right"/>
            </w:pPr>
            <w:r>
              <w:rPr>
                <w:b w:val="false"/>
                <w:bCs w:val="false"/>
                <w:sz w:val="19"/>
                <w:szCs w:val="19"/>
              </w:rPr>
              <w:t xml:space="preserve">180</w:t>
            </w:r>
          </w:p>
        </w:tc>
        <w:tc>
          <w:tcPr>
            <w:tcW w:type="dxa" w:w="880"/>
            <w:tcBorders>
              <w:top w:val="none" w:color="FFFFFF" w:sz="0"/>
              <w:left w:val="none" w:color="FFFFFF" w:sz="0"/>
              <w:bottom w:val="single" w:color="BFBFBF" w:sz="4"/>
              <w:right w:val="none" w:color="FFFFFF" w:sz="0"/>
            </w:tcBorders>
            <w:tcMar>
              <w:top w:type="dxa" w:w="50"/>
              <w:left w:type="dxa" w:w="90"/>
              <w:bottom w:type="dxa" w:w="50"/>
              <w:right w:type="dxa" w:w="90"/>
            </w:tcMar>
          </w:tcPr>
          <w:p>
            <w:pPr>
              <w:keepNext w:val="false"/>
              <w:jc w:val="right"/>
            </w:pPr>
            <w:r>
              <w:rPr>
                <w:b w:val="false"/>
                <w:bCs w:val="false"/>
                <w:sz w:val="19"/>
                <w:szCs w:val="19"/>
              </w:rPr>
              <w:t xml:space="preserve">$373.92</w:t>
            </w:r>
          </w:p>
        </w:tc>
        <w:tc>
          <w:tcPr>
            <w:tcW w:type="dxa" w:w="880"/>
            <w:tcBorders>
              <w:top w:val="none" w:color="FFFFFF" w:sz="0"/>
              <w:left w:val="none" w:color="FFFFFF" w:sz="0"/>
              <w:bottom w:val="single" w:color="BFBFBF" w:sz="4"/>
              <w:right w:val="none" w:color="FFFFFF" w:sz="0"/>
            </w:tcBorders>
            <w:tcMar>
              <w:top w:type="dxa" w:w="50"/>
              <w:left w:type="dxa" w:w="90"/>
              <w:bottom w:type="dxa" w:w="50"/>
              <w:right w:type="dxa" w:w="90"/>
            </w:tcMar>
          </w:tcPr>
          <w:p>
            <w:pPr>
              <w:keepNext w:val="false"/>
              <w:jc w:val="right"/>
            </w:pPr>
            <w:r>
              <w:rPr>
                <w:b w:val="false"/>
                <w:bCs w:val="false"/>
                <w:sz w:val="19"/>
                <w:szCs w:val="19"/>
              </w:rPr>
              <w:t xml:space="preserve">$364.32</w:t>
            </w:r>
          </w:p>
        </w:tc>
        <w:tc>
          <w:tcPr>
            <w:tcW w:type="dxa" w:w="1150"/>
            <w:tcBorders>
              <w:top w:val="none" w:color="FFFFFF" w:sz="0"/>
              <w:left w:val="none" w:color="FFFFFF" w:sz="0"/>
              <w:bottom w:val="single" w:color="BFBFBF" w:sz="4"/>
              <w:right w:val="none" w:color="FFFFFF" w:sz="0"/>
            </w:tcBorders>
            <w:tcMar>
              <w:top w:type="dxa" w:w="50"/>
              <w:left w:type="dxa" w:w="90"/>
              <w:bottom w:type="dxa" w:w="50"/>
              <w:right w:type="dxa" w:w="90"/>
            </w:tcMar>
          </w:tcPr>
          <w:p>
            <w:pPr>
              <w:keepNext w:val="false"/>
              <w:jc w:val="right"/>
            </w:pPr>
            <w:r>
              <w:rPr>
                <w:b w:val="false"/>
                <w:bCs w:val="false"/>
                <w:sz w:val="19"/>
                <w:szCs w:val="19"/>
              </w:rPr>
              <w:t xml:space="preserve">251 – 525</w:t>
            </w:r>
          </w:p>
        </w:tc>
        <w:tc>
          <w:tcPr>
            <w:tcW w:type="dxa" w:w="900"/>
            <w:tcBorders>
              <w:top w:val="none" w:color="FFFFFF" w:sz="0"/>
              <w:left w:val="none" w:color="FFFFFF" w:sz="0"/>
              <w:bottom w:val="single" w:color="BFBFBF" w:sz="4"/>
              <w:right w:val="none" w:color="FFFFFF" w:sz="0"/>
            </w:tcBorders>
            <w:tcMar>
              <w:top w:type="dxa" w:w="50"/>
              <w:left w:type="dxa" w:w="90"/>
              <w:bottom w:type="dxa" w:w="50"/>
              <w:right w:type="dxa" w:w="90"/>
            </w:tcMar>
          </w:tcPr>
          <w:p>
            <w:pPr>
              <w:keepNext w:val="false"/>
              <w:jc w:val="right"/>
            </w:pPr>
            <w:r>
              <w:rPr>
                <w:b w:val="false"/>
                <w:bCs w:val="false"/>
                <w:sz w:val="19"/>
                <w:szCs w:val="19"/>
              </w:rPr>
              <w:t xml:space="preserve">18.3%</w:t>
            </w:r>
          </w:p>
        </w:tc>
        <w:tc>
          <w:tcPr>
            <w:tcW w:type="dxa" w:w="850"/>
            <w:tcBorders>
              <w:top w:val="none" w:color="FFFFFF" w:sz="0"/>
              <w:left w:val="none" w:color="FFFFFF" w:sz="0"/>
              <w:bottom w:val="single" w:color="BFBFBF" w:sz="4"/>
              <w:right w:val="none" w:color="FFFFFF" w:sz="0"/>
            </w:tcBorders>
            <w:tcMar>
              <w:top w:type="dxa" w:w="50"/>
              <w:left w:type="dxa" w:w="90"/>
              <w:bottom w:type="dxa" w:w="50"/>
              <w:right w:type="dxa" w:w="90"/>
            </w:tcMar>
          </w:tcPr>
          <w:p>
            <w:pPr>
              <w:keepNext w:val="false"/>
              <w:jc w:val="right"/>
            </w:pPr>
            <w:r>
              <w:rPr>
                <w:b w:val="false"/>
                <w:bCs w:val="false"/>
                <w:sz w:val="19"/>
                <w:szCs w:val="19"/>
              </w:rPr>
              <w:t xml:space="preserve">25.7%</w:t>
            </w:r>
          </w:p>
        </w:tc>
        <w:tc>
          <w:tcPr>
            <w:tcW w:type="dxa" w:w="1100"/>
            <w:tcBorders>
              <w:top w:val="none" w:color="FFFFFF" w:sz="0"/>
              <w:left w:val="none" w:color="FFFFFF" w:sz="0"/>
              <w:bottom w:val="single" w:color="BFBFBF" w:sz="4"/>
              <w:right w:val="none" w:color="FFFFFF" w:sz="0"/>
            </w:tcBorders>
            <w:tcMar>
              <w:top w:type="dxa" w:w="50"/>
              <w:left w:type="dxa" w:w="90"/>
              <w:bottom w:type="dxa" w:w="50"/>
              <w:right w:type="dxa" w:w="90"/>
            </w:tcMar>
          </w:tcPr>
          <w:p>
            <w:pPr>
              <w:keepNext w:val="false"/>
              <w:jc w:val="right"/>
            </w:pPr>
            <w:r>
              <w:rPr>
                <w:b w:val="false"/>
                <w:bCs w:val="false"/>
                <w:sz w:val="19"/>
                <w:szCs w:val="19"/>
              </w:rPr>
              <w:t xml:space="preserve">13.3%</w:t>
            </w:r>
          </w:p>
        </w:tc>
        <w:tc>
          <w:tcPr>
            <w:tcW w:type="dxa" w:w="1050"/>
            <w:tcBorders>
              <w:top w:val="none" w:color="FFFFFF" w:sz="0"/>
              <w:left w:val="none" w:color="FFFFFF" w:sz="0"/>
              <w:bottom w:val="single" w:color="BFBFBF" w:sz="4"/>
              <w:right w:val="none" w:color="FFFFFF" w:sz="0"/>
            </w:tcBorders>
            <w:tcMar>
              <w:top w:type="dxa" w:w="50"/>
              <w:left w:type="dxa" w:w="90"/>
              <w:bottom w:type="dxa" w:w="50"/>
              <w:right w:type="dxa" w:w="90"/>
            </w:tcMar>
          </w:tcPr>
          <w:p>
            <w:pPr>
              <w:keepNext w:val="false"/>
              <w:jc w:val="right"/>
            </w:pPr>
            <w:r>
              <w:rPr>
                <w:b w:val="false"/>
                <w:bCs w:val="false"/>
                <w:sz w:val="19"/>
                <w:szCs w:val="19"/>
              </w:rPr>
              <w:t xml:space="preserve">20.7%</w:t>
            </w:r>
          </w:p>
        </w:tc>
        <w:tc>
          <w:tcPr>
            <w:tcW w:type="dxa" w:w="1120"/>
            <w:tcBorders>
              <w:top w:val="none" w:color="FFFFFF" w:sz="0"/>
              <w:left w:val="none" w:color="FFFFFF" w:sz="0"/>
              <w:bottom w:val="single" w:color="BFBFBF" w:sz="4"/>
              <w:right w:val="none" w:color="FFFFFF" w:sz="0"/>
            </w:tcBorders>
            <w:tcMar>
              <w:top w:type="dxa" w:w="50"/>
              <w:left w:type="dxa" w:w="90"/>
              <w:bottom w:type="dxa" w:w="50"/>
              <w:right w:type="dxa" w:w="90"/>
            </w:tcMar>
          </w:tcPr>
          <w:p>
            <w:pPr>
              <w:keepNext w:val="false"/>
              <w:jc w:val="right"/>
            </w:pPr>
            <w:r>
              <w:rPr>
                <w:b w:val="false"/>
                <w:bCs w:val="false"/>
                <w:sz w:val="19"/>
                <w:szCs w:val="19"/>
              </w:rPr>
              <w:t xml:space="preserve">28.3%</w:t>
            </w:r>
          </w:p>
        </w:tc>
      </w:tr>
    </w:tbl>
    <w:p>
      <w:pPr>
        <w:spacing w:after="220" w:before="60"/>
      </w:pPr>
      <w:r>
        <w:rPr>
          <w:i/>
          <w:iCs/>
          <w:color w:val="595959"/>
          <w:sz w:val="19"/>
          <w:szCs w:val="19"/>
        </w:rPr>
        <w:t xml:space="preserve">Note. </w:t>
      </w:r>
      <w:r>
        <w:rPr>
          <w:color w:val="595959"/>
          <w:sz w:val="19"/>
          <w:szCs w:val="19"/>
        </w:rPr>
        <w:t xml:space="preserve">P(loss) is the probability that the price at the horizon is below today's price. VaR 95% is the loss not exceeded with 95% probability; CVaR 95% (expected shortfall) is the average loss in the worst 5% of outcomes. Both are expressed as a percentage of the initial investment.</w:t>
      </w:r>
    </w:p>
    <w:p>
      <w:pPr>
        <w:keepNext/>
        <w:spacing w:after="0" w:before="200"/>
      </w:pPr>
      <w:r>
        <w:rPr>
          <w:b/>
          <w:bCs/>
        </w:rPr>
        <w:t xml:space="preserve">Figure 6</w:t>
      </w:r>
    </w:p>
    <w:p>
      <w:pPr>
        <w:keepNext/>
        <w:spacing w:after="100"/>
      </w:pPr>
      <w:r>
        <w:rPr>
          <w:i/>
          <w:iCs/>
        </w:rPr>
        <w:t xml:space="preserve">Probability of Loss and 95% Value-at-Risk as Functions of the Horizon</w:t>
      </w:r>
    </w:p>
    <w:p>
      <w:pPr>
        <w:keepNext/>
        <w:jc w:val="center"/>
      </w:pPr>
      <w:r>
        <w:drawing>
          <wp:inline distT="0" distB="0" distL="0" distR="0">
            <wp:extent cx="5852160" cy="2539050"/>
            <wp:effectExtent t="0" r="0" b="0" l="0"/>
            <wp:docPr id="1" name="fig6_risk_vs_horizon.png" descr="Probability of Loss and 95% Value-at-Risk as Functions of the Horizon"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852160" cy="2539050"/>
                    </a:xfrm>
                    <a:prstGeom prst="rect">
                      <a:avLst/>
                    </a:prstGeom>
                  </pic:spPr>
                </pic:pic>
              </a:graphicData>
            </a:graphic>
          </wp:inline>
        </w:drawing>
      </w:r>
    </w:p>
    <w:p>
      <w:pPr>
        <w:spacing w:after="220" w:before="60"/>
      </w:pPr>
      <w:r>
        <w:rPr>
          <w:i/>
          <w:iCs/>
          <w:color w:val="595959"/>
          <w:sz w:val="19"/>
          <w:szCs w:val="19"/>
        </w:rPr>
        <w:t xml:space="preserve">Note. </w:t>
      </w:r>
      <w:r>
        <w:rPr>
          <w:color w:val="595959"/>
          <w:sz w:val="19"/>
          <w:szCs w:val="19"/>
        </w:rPr>
        <w:t xml:space="preserve">For GBM and Merton the probability of loss falls with the horizon because the positive drift accumulates faster than the uncertainty around it, while VaR keeps rising roughly with the square root of time. Under OU both curves bend once the pull toward the trend takes over.</w:t>
      </w:r>
    </w:p>
    <w:p>
      <w:pPr>
        <w:pStyle w:val="Heading1"/>
      </w:pPr>
      <w:r>
        <w:t xml:space="preserve">5. Analysis and Interpretation</w:t>
      </w:r>
    </w:p>
    <w:p>
      <w:pPr>
        <w:pStyle w:val="Heading2"/>
      </w:pPr>
      <w:r>
        <w:t xml:space="preserve">5.1 Volatility and trend behaviour</w:t>
      </w:r>
    </w:p>
    <w:p>
      <w:pPr>
        <w:spacing w:after="140" w:line="288"/>
        <w:jc w:val="both"/>
      </w:pPr>
      <w:r>
        <w:t xml:space="preserve">GBM and Merton have almost the same total volatility (28% and 27%) and the same drift, so their central forecasts are nearly identical: a 180-day median of $356.86 under GBM and $364.32 under Merton. In both, the mean lies above the median (for example $367.38 vs $356.86 for GBM at 180 days). This is the right skew of a log-normal distribution: a few very large gains pull the average up, while the typical outcome is more modest. The two models differ in how risk is distributed. Merton puts more of its variance in rare jumps and less in day-to-day diffusion, so it shows a slightly lower probability of an ordinary loss but a fatter left tail per unit of volatility.</w:t>
      </w:r>
    </w:p>
    <w:p>
      <w:pPr>
        <w:spacing w:after="140" w:line="288"/>
        <w:jc w:val="both"/>
      </w:pPr>
      <w:r>
        <w:t xml:space="preserve">The trend-OU model behaves very differently. Because AAPL ended the window 14% above its fitted trend, the model expects a reversion: the median falls to about $298.74 within 60 days and then rises slowly with the trend, to $309.91 at 180 days. Its uncertainty also stops growing: the 90% interval at 180 days (268–359) is about a third as wide as GBM's (243–527). This difference is the central practical point: </w:t>
      </w:r>
      <w:r>
        <w:rPr>
          <w:b/>
          <w:bCs/>
        </w:rPr>
        <w:t xml:space="preserve">whether one believes in mean reversion changes the long-horizon risk estimate by a factor of about three.</w:t>
      </w:r>
    </w:p>
    <w:p>
      <w:pPr>
        <w:pStyle w:val="Heading2"/>
      </w:pPr>
      <w:r>
        <w:t xml:space="preserve">5.2 Investment risk</w:t>
      </w:r>
    </w:p>
    <w:p>
      <w:pPr>
        <w:spacing w:after="140" w:line="288"/>
        <w:jc w:val="both"/>
      </w:pPr>
      <w:r>
        <w:t xml:space="preserve">Under GBM and Merton, an investor buying at $316.15 has roughly a 39–42% chance of being under water after 30 trading days, falling to 26%–30% after 180 days. The 95% VaR rises from about 12–13% at one month to 21–23% at nine months, and the average loss in the worst 5% of scenarios (CVaR) reaches 30% under GBM. The typical worst peak-to-trough drawdown along a 180-day path is 19%, so even investors who end up with a gain should expect to sit through a meaningful decline on the way.</w:t>
      </w:r>
    </w:p>
    <w:p>
      <w:pPr>
        <w:spacing w:after="140" w:line="288"/>
        <w:jc w:val="both"/>
      </w:pPr>
      <w:r>
        <w:t xml:space="preserve">Under OU, the probability of loss is much higher (71% at 30 days, 75% at 60 days), but large losses are rarer at long horizons because the trend line supports the price. The models therefore disagree mainly about direction, which is the least predictable component, and agree broadly on the scale of short-term risk: all three put the one-month 95% VaR between 12% and 15%.</w:t>
      </w:r>
    </w:p>
    <w:p>
      <w:pPr>
        <w:pStyle w:val="Heading2"/>
      </w:pPr>
      <w:r>
        <w:t xml:space="preserve">5.3 Short-term vs. long-term prediction</w:t>
      </w:r>
    </w:p>
    <w:p>
      <w:pPr>
        <w:spacing w:after="140" w:line="288"/>
        <w:jc w:val="both"/>
      </w:pPr>
      <w:r>
        <w:t xml:space="preserve">Over short horizons the forecast is dominated by volatility: at 30 days the standard deviation of the return (about 10%) is roughly four times the expected return (about 2.5%), so the direction is close to a coin flip. Volatility is estimated precisely, and the models agree, so short-horizon risk statements (VaR, the probability of a 10% drop) are the most trustworthy output. Over long horizons the drift matters more, but it is also the least reliable estimate. A 180-day expected return of +16% under GBM simply extrapolates AAPL's exceptional past two years and should not be read as a forecast. Long-horizon results are therefore best treated as scenario ranges whose width, not centre, carries the information.</w:t>
      </w:r>
    </w:p>
    <w:p>
      <w:pPr>
        <w:pStyle w:val="Heading2"/>
      </w:pPr>
      <w:r>
        <w:t xml:space="preserve">5.4 Out-of-sample validation</w:t>
      </w:r>
    </w:p>
    <w:p>
      <w:pPr>
        <w:spacing w:after="140" w:line="288"/>
        <w:jc w:val="both"/>
      </w:pPr>
      <w:r>
        <w:rPr>
          <w:b/>
          <w:bCs/>
        </w:rPr>
        <w:t xml:space="preserve">Hold-out test.</w:t>
      </w:r>
      <w:r>
        <w:t xml:space="preserve"> The models were recalibrated on the 504 days ending 21 October 2025 (price $262.03) and simulated 180 days forward (Figure 7). The realised price on 13 July 2026 was $316.15, a gain of 21%. It fell at the 58th percentile of the GBM and Merton forecasts, well inside their 90% intervals ($206–444). It fell at the 98th percentile of the OU forecast, above its upper bound of $307. OU correctly anticipated the sideways drift of December 2025 – April 2026 but missed the subsequent breakout.</w:t>
      </w:r>
    </w:p>
    <w:p>
      <w:pPr>
        <w:keepNext/>
        <w:spacing w:after="0" w:before="200"/>
      </w:pPr>
      <w:r>
        <w:rPr>
          <w:b/>
          <w:bCs/>
        </w:rPr>
        <w:t xml:space="preserve">Figure 7</w:t>
      </w:r>
    </w:p>
    <w:p>
      <w:pPr>
        <w:keepNext/>
        <w:spacing w:after="100"/>
      </w:pPr>
      <w:r>
        <w:rPr>
          <w:i/>
          <w:iCs/>
        </w:rPr>
        <w:t xml:space="preserve">Hold-Out Test: Forecasts From 21 October 2025 Compared With the Realised Path</w:t>
      </w:r>
    </w:p>
    <w:p>
      <w:pPr>
        <w:keepNext/>
        <w:jc w:val="center"/>
      </w:pPr>
      <w:r>
        <w:drawing>
          <wp:inline distT="0" distB="0" distL="0" distR="0">
            <wp:extent cx="5852160" cy="3048000"/>
            <wp:effectExtent t="0" r="0" b="0" l="0"/>
            <wp:docPr id="1" name="fig7_holdout_test.png" descr="Hold-Out Test: Forecasts From 21 October 2025 Compared With the Realised Path"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852160" cy="3048000"/>
                    </a:xfrm>
                    <a:prstGeom prst="rect">
                      <a:avLst/>
                    </a:prstGeom>
                  </pic:spPr>
                </pic:pic>
              </a:graphicData>
            </a:graphic>
          </wp:inline>
        </w:drawing>
      </w:r>
    </w:p>
    <w:p>
      <w:pPr>
        <w:spacing w:after="220" w:before="60"/>
      </w:pPr>
      <w:r>
        <w:rPr>
          <w:i/>
          <w:iCs/>
          <w:color w:val="595959"/>
          <w:sz w:val="19"/>
          <w:szCs w:val="19"/>
        </w:rPr>
        <w:t xml:space="preserve">Note. </w:t>
      </w:r>
      <w:r>
        <w:rPr>
          <w:color w:val="595959"/>
          <w:sz w:val="19"/>
          <w:szCs w:val="19"/>
        </w:rPr>
        <w:t xml:space="preserve">Models calibrated only on data up to 21 Oct 2025. The realised path (black) stays within the GBM and Merton 90% bands throughout. It ends above the OU band, which was outside its 90% interval on 11% of the days.</w:t>
      </w:r>
    </w:p>
    <w:p>
      <w:pPr>
        <w:spacing w:after="140" w:line="288"/>
        <w:jc w:val="both"/>
      </w:pPr>
      <w:r>
        <w:rPr>
          <w:b/>
          <w:bCs/>
        </w:rPr>
        <w:t xml:space="preserve">Rolling backtest.</w:t>
      </w:r>
      <w:r>
        <w:t xml:space="preserve"> One hold-out is a single draw, so the evaluation was repeated at 73 origins spaced 10 trading days apart (July 2023 – May 2026). At each origin, each model was recalibrated on the preceding 504 days and used to forecast 30 days ahead. Two properties were checked: whether the 90% interval contains the outcome about 90% of the time (Kupiec, 1995), and whether the probability integral transform (PIT), the forecast percentile of the realised price, is uniformly distributed (Gneiting et al., 2007).</w:t>
      </w:r>
    </w:p>
    <w:p>
      <w:pPr>
        <w:keepNext/>
        <w:spacing w:after="0" w:before="200"/>
      </w:pPr>
      <w:r>
        <w:rPr>
          <w:b/>
          <w:bCs/>
        </w:rPr>
        <w:t xml:space="preserve">Table 5</w:t>
      </w:r>
    </w:p>
    <w:p>
      <w:pPr>
        <w:keepNext/>
        <w:spacing w:after="100"/>
      </w:pPr>
      <w:r>
        <w:rPr>
          <w:i/>
          <w:iCs/>
        </w:rPr>
        <w:t xml:space="preserve">Rolling 30-Day Backtest of Forecast Distributions (73 Forecasts per Model)</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140"/>
        <w:gridCol w:w="1900"/>
        <w:gridCol w:w="1800"/>
        <w:gridCol w:w="1950"/>
        <w:gridCol w:w="1850"/>
      </w:tblGrid>
      <w:tr>
        <w:trPr>
          <w:tblHeader/>
        </w:trPr>
        <w:tc>
          <w:tcPr>
            <w:tcW w:type="dxa" w:w="2140"/>
            <w:tcBorders>
              <w:top w:val="single" w:color="BFBFBF" w:sz="4"/>
              <w:left w:val="none" w:color="FFFFFF" w:sz="0"/>
              <w:bottom w:val="single" w:color="BFBFBF" w:sz="4"/>
              <w:right w:val="none" w:color="FFFFFF" w:sz="0"/>
            </w:tcBorders>
            <w:shd w:fill="E8EEF5" w:color="auto" w:val="clear"/>
            <w:tcMar>
              <w:top w:type="dxa" w:w="50"/>
              <w:left w:type="dxa" w:w="90"/>
              <w:bottom w:type="dxa" w:w="50"/>
              <w:right w:type="dxa" w:w="90"/>
            </w:tcMar>
          </w:tcPr>
          <w:p>
            <w:pPr>
              <w:keepNext/>
              <w:jc w:val="left"/>
            </w:pPr>
            <w:r>
              <w:rPr>
                <w:b/>
                <w:bCs/>
                <w:sz w:val="19"/>
                <w:szCs w:val="19"/>
              </w:rPr>
              <w:t xml:space="preserve">Model</w:t>
            </w:r>
          </w:p>
        </w:tc>
        <w:tc>
          <w:tcPr>
            <w:tcW w:type="dxa" w:w="1900"/>
            <w:tcBorders>
              <w:top w:val="single" w:color="BFBFBF" w:sz="4"/>
              <w:left w:val="none" w:color="FFFFFF" w:sz="0"/>
              <w:bottom w:val="single" w:color="BFBFBF" w:sz="4"/>
              <w:right w:val="none" w:color="FFFFFF" w:sz="0"/>
            </w:tcBorders>
            <w:shd w:fill="E8EEF5" w:color="auto" w:val="clear"/>
            <w:tcMar>
              <w:top w:type="dxa" w:w="50"/>
              <w:left w:type="dxa" w:w="90"/>
              <w:bottom w:type="dxa" w:w="50"/>
              <w:right w:type="dxa" w:w="90"/>
            </w:tcMar>
          </w:tcPr>
          <w:p>
            <w:pPr>
              <w:keepNext/>
              <w:jc w:val="right"/>
            </w:pPr>
            <w:r>
              <w:rPr>
                <w:b/>
                <w:bCs/>
                <w:sz w:val="19"/>
                <w:szCs w:val="19"/>
              </w:rPr>
              <w:t xml:space="preserve">90% interval coverage</w:t>
            </w:r>
          </w:p>
        </w:tc>
        <w:tc>
          <w:tcPr>
            <w:tcW w:type="dxa" w:w="1800"/>
            <w:tcBorders>
              <w:top w:val="single" w:color="BFBFBF" w:sz="4"/>
              <w:left w:val="none" w:color="FFFFFF" w:sz="0"/>
              <w:bottom w:val="single" w:color="BFBFBF" w:sz="4"/>
              <w:right w:val="none" w:color="FFFFFF" w:sz="0"/>
            </w:tcBorders>
            <w:shd w:fill="E8EEF5" w:color="auto" w:val="clear"/>
            <w:tcMar>
              <w:top w:type="dxa" w:w="50"/>
              <w:left w:type="dxa" w:w="90"/>
              <w:bottom w:type="dxa" w:w="50"/>
              <w:right w:type="dxa" w:w="90"/>
            </w:tcMar>
          </w:tcPr>
          <w:p>
            <w:pPr>
              <w:keepNext/>
              <w:jc w:val="right"/>
            </w:pPr>
            <w:r>
              <w:rPr>
                <w:b/>
                <w:bCs/>
                <w:sz w:val="19"/>
                <w:szCs w:val="19"/>
              </w:rPr>
              <w:t xml:space="preserve">Kupiec p-value</w:t>
            </w:r>
          </w:p>
        </w:tc>
        <w:tc>
          <w:tcPr>
            <w:tcW w:type="dxa" w:w="1950"/>
            <w:tcBorders>
              <w:top w:val="single" w:color="BFBFBF" w:sz="4"/>
              <w:left w:val="none" w:color="FFFFFF" w:sz="0"/>
              <w:bottom w:val="single" w:color="BFBFBF" w:sz="4"/>
              <w:right w:val="none" w:color="FFFFFF" w:sz="0"/>
            </w:tcBorders>
            <w:shd w:fill="E8EEF5" w:color="auto" w:val="clear"/>
            <w:tcMar>
              <w:top w:type="dxa" w:w="50"/>
              <w:left w:type="dxa" w:w="90"/>
              <w:bottom w:type="dxa" w:w="50"/>
              <w:right w:type="dxa" w:w="90"/>
            </w:tcMar>
          </w:tcPr>
          <w:p>
            <w:pPr>
              <w:keepNext/>
              <w:jc w:val="right"/>
            </w:pPr>
            <w:r>
              <w:rPr>
                <w:b/>
                <w:bCs/>
                <w:sz w:val="19"/>
                <w:szCs w:val="19"/>
              </w:rPr>
              <w:t xml:space="preserve">PIT uniformity (KS p)</w:t>
            </w:r>
          </w:p>
        </w:tc>
        <w:tc>
          <w:tcPr>
            <w:tcW w:type="dxa" w:w="1850"/>
            <w:tcBorders>
              <w:top w:val="single" w:color="BFBFBF" w:sz="4"/>
              <w:left w:val="none" w:color="FFFFFF" w:sz="0"/>
              <w:bottom w:val="single" w:color="BFBFBF" w:sz="4"/>
              <w:right w:val="none" w:color="FFFFFF" w:sz="0"/>
            </w:tcBorders>
            <w:shd w:fill="E8EEF5" w:color="auto" w:val="clear"/>
            <w:tcMar>
              <w:top w:type="dxa" w:w="50"/>
              <w:left w:type="dxa" w:w="90"/>
              <w:bottom w:type="dxa" w:w="50"/>
              <w:right w:type="dxa" w:w="90"/>
            </w:tcMar>
          </w:tcPr>
          <w:p>
            <w:pPr>
              <w:keepNext/>
              <w:jc w:val="right"/>
            </w:pPr>
            <w:r>
              <w:rPr>
                <w:b/>
                <w:bCs/>
                <w:sz w:val="19"/>
                <w:szCs w:val="19"/>
              </w:rPr>
              <w:t xml:space="preserve">Mean log score</w:t>
            </w:r>
          </w:p>
        </w:tc>
      </w:tr>
      <w:tr>
        <w:trPr>
          <w:cantSplit/>
        </w:trPr>
        <w:tc>
          <w:tcPr>
            <w:tcW w:type="dxa" w:w="2140"/>
            <w:tcBorders>
              <w:top w:val="none" w:color="FFFFFF" w:sz="0"/>
              <w:left w:val="none" w:color="FFFFFF" w:sz="0"/>
              <w:bottom w:val="single" w:color="BFBFBF" w:sz="4"/>
              <w:right w:val="none" w:color="FFFFFF" w:sz="0"/>
            </w:tcBorders>
            <w:tcMar>
              <w:top w:type="dxa" w:w="50"/>
              <w:left w:type="dxa" w:w="90"/>
              <w:bottom w:type="dxa" w:w="50"/>
              <w:right w:type="dxa" w:w="90"/>
            </w:tcMar>
          </w:tcPr>
          <w:p>
            <w:pPr>
              <w:keepNext/>
              <w:jc w:val="left"/>
            </w:pPr>
            <w:r>
              <w:rPr>
                <w:b w:val="false"/>
                <w:bCs w:val="false"/>
                <w:sz w:val="19"/>
                <w:szCs w:val="19"/>
              </w:rPr>
              <w:t xml:space="preserve">GBM</w:t>
            </w:r>
          </w:p>
        </w:tc>
        <w:tc>
          <w:tcPr>
            <w:tcW w:type="dxa" w:w="1900"/>
            <w:tcBorders>
              <w:top w:val="none" w:color="FFFFFF" w:sz="0"/>
              <w:left w:val="none" w:color="FFFFFF" w:sz="0"/>
              <w:bottom w:val="single" w:color="BFBFBF" w:sz="4"/>
              <w:right w:val="none" w:color="FFFFFF" w:sz="0"/>
            </w:tcBorders>
            <w:tcMar>
              <w:top w:type="dxa" w:w="50"/>
              <w:left w:type="dxa" w:w="90"/>
              <w:bottom w:type="dxa" w:w="50"/>
              <w:right w:type="dxa" w:w="90"/>
            </w:tcMar>
          </w:tcPr>
          <w:p>
            <w:pPr>
              <w:keepNext/>
              <w:jc w:val="right"/>
            </w:pPr>
            <w:r>
              <w:rPr>
                <w:b w:val="false"/>
                <w:bCs w:val="false"/>
                <w:sz w:val="19"/>
                <w:szCs w:val="19"/>
              </w:rPr>
              <w:t xml:space="preserve">94.5%</w:t>
            </w:r>
          </w:p>
        </w:tc>
        <w:tc>
          <w:tcPr>
            <w:tcW w:type="dxa" w:w="1800"/>
            <w:tcBorders>
              <w:top w:val="none" w:color="FFFFFF" w:sz="0"/>
              <w:left w:val="none" w:color="FFFFFF" w:sz="0"/>
              <w:bottom w:val="single" w:color="BFBFBF" w:sz="4"/>
              <w:right w:val="none" w:color="FFFFFF" w:sz="0"/>
            </w:tcBorders>
            <w:tcMar>
              <w:top w:type="dxa" w:w="50"/>
              <w:left w:type="dxa" w:w="90"/>
              <w:bottom w:type="dxa" w:w="50"/>
              <w:right w:type="dxa" w:w="90"/>
            </w:tcMar>
          </w:tcPr>
          <w:p>
            <w:pPr>
              <w:keepNext/>
              <w:jc w:val="right"/>
            </w:pPr>
            <w:r>
              <w:rPr>
                <w:b w:val="false"/>
                <w:bCs w:val="false"/>
                <w:sz w:val="19"/>
                <w:szCs w:val="19"/>
              </w:rPr>
              <w:t xml:space="preserve">0.163</w:t>
            </w:r>
          </w:p>
        </w:tc>
        <w:tc>
          <w:tcPr>
            <w:tcW w:type="dxa" w:w="1950"/>
            <w:tcBorders>
              <w:top w:val="none" w:color="FFFFFF" w:sz="0"/>
              <w:left w:val="none" w:color="FFFFFF" w:sz="0"/>
              <w:bottom w:val="single" w:color="BFBFBF" w:sz="4"/>
              <w:right w:val="none" w:color="FFFFFF" w:sz="0"/>
            </w:tcBorders>
            <w:tcMar>
              <w:top w:type="dxa" w:w="50"/>
              <w:left w:type="dxa" w:w="90"/>
              <w:bottom w:type="dxa" w:w="50"/>
              <w:right w:type="dxa" w:w="90"/>
            </w:tcMar>
          </w:tcPr>
          <w:p>
            <w:pPr>
              <w:keepNext/>
              <w:jc w:val="right"/>
            </w:pPr>
            <w:r>
              <w:rPr>
                <w:b w:val="false"/>
                <w:bCs w:val="false"/>
                <w:sz w:val="19"/>
                <w:szCs w:val="19"/>
              </w:rPr>
              <w:t xml:space="preserve">0.530</w:t>
            </w:r>
          </w:p>
        </w:tc>
        <w:tc>
          <w:tcPr>
            <w:tcW w:type="dxa" w:w="1850"/>
            <w:tcBorders>
              <w:top w:val="none" w:color="FFFFFF" w:sz="0"/>
              <w:left w:val="none" w:color="FFFFFF" w:sz="0"/>
              <w:bottom w:val="single" w:color="BFBFBF" w:sz="4"/>
              <w:right w:val="none" w:color="FFFFFF" w:sz="0"/>
            </w:tcBorders>
            <w:tcMar>
              <w:top w:type="dxa" w:w="50"/>
              <w:left w:type="dxa" w:w="90"/>
              <w:bottom w:type="dxa" w:w="50"/>
              <w:right w:type="dxa" w:w="90"/>
            </w:tcMar>
          </w:tcPr>
          <w:p>
            <w:pPr>
              <w:keepNext/>
              <w:jc w:val="right"/>
            </w:pPr>
            <w:r>
              <w:rPr>
                <w:b w:val="false"/>
                <w:bCs w:val="false"/>
                <w:sz w:val="19"/>
                <w:szCs w:val="19"/>
              </w:rPr>
              <w:t xml:space="preserve">1.063</w:t>
            </w:r>
          </w:p>
        </w:tc>
      </w:tr>
      <w:tr>
        <w:trPr>
          <w:cantSplit/>
        </w:trPr>
        <w:tc>
          <w:tcPr>
            <w:tcW w:type="dxa" w:w="2140"/>
            <w:tcBorders>
              <w:top w:val="none" w:color="FFFFFF" w:sz="0"/>
              <w:left w:val="none" w:color="FFFFFF" w:sz="0"/>
              <w:bottom w:val="single" w:color="BFBFBF" w:sz="4"/>
              <w:right w:val="none" w:color="FFFFFF" w:sz="0"/>
            </w:tcBorders>
            <w:shd w:fill="F7F7F7" w:color="auto" w:val="clear"/>
            <w:tcMar>
              <w:top w:type="dxa" w:w="50"/>
              <w:left w:type="dxa" w:w="90"/>
              <w:bottom w:type="dxa" w:w="50"/>
              <w:right w:type="dxa" w:w="90"/>
            </w:tcMar>
          </w:tcPr>
          <w:p>
            <w:pPr>
              <w:keepNext/>
              <w:jc w:val="left"/>
            </w:pPr>
            <w:r>
              <w:rPr>
                <w:b w:val="false"/>
                <w:bCs w:val="false"/>
                <w:sz w:val="19"/>
                <w:szCs w:val="19"/>
              </w:rPr>
              <w:t xml:space="preserve">OU (trend)</w:t>
            </w:r>
          </w:p>
        </w:tc>
        <w:tc>
          <w:tcPr>
            <w:tcW w:type="dxa" w:w="1900"/>
            <w:tcBorders>
              <w:top w:val="none" w:color="FFFFFF" w:sz="0"/>
              <w:left w:val="none" w:color="FFFFFF" w:sz="0"/>
              <w:bottom w:val="single" w:color="BFBFBF" w:sz="4"/>
              <w:right w:val="none" w:color="FFFFFF" w:sz="0"/>
            </w:tcBorders>
            <w:shd w:fill="F7F7F7" w:color="auto" w:val="clear"/>
            <w:tcMar>
              <w:top w:type="dxa" w:w="50"/>
              <w:left w:type="dxa" w:w="90"/>
              <w:bottom w:type="dxa" w:w="50"/>
              <w:right w:type="dxa" w:w="90"/>
            </w:tcMar>
          </w:tcPr>
          <w:p>
            <w:pPr>
              <w:keepNext/>
              <w:jc w:val="right"/>
            </w:pPr>
            <w:r>
              <w:rPr>
                <w:b w:val="false"/>
                <w:bCs w:val="false"/>
                <w:sz w:val="19"/>
                <w:szCs w:val="19"/>
              </w:rPr>
              <w:t xml:space="preserve">84.9%</w:t>
            </w:r>
          </w:p>
        </w:tc>
        <w:tc>
          <w:tcPr>
            <w:tcW w:type="dxa" w:w="1800"/>
            <w:tcBorders>
              <w:top w:val="none" w:color="FFFFFF" w:sz="0"/>
              <w:left w:val="none" w:color="FFFFFF" w:sz="0"/>
              <w:bottom w:val="single" w:color="BFBFBF" w:sz="4"/>
              <w:right w:val="none" w:color="FFFFFF" w:sz="0"/>
            </w:tcBorders>
            <w:shd w:fill="F7F7F7" w:color="auto" w:val="clear"/>
            <w:tcMar>
              <w:top w:type="dxa" w:w="50"/>
              <w:left w:type="dxa" w:w="90"/>
              <w:bottom w:type="dxa" w:w="50"/>
              <w:right w:type="dxa" w:w="90"/>
            </w:tcMar>
          </w:tcPr>
          <w:p>
            <w:pPr>
              <w:keepNext/>
              <w:jc w:val="right"/>
            </w:pPr>
            <w:r>
              <w:rPr>
                <w:b w:val="false"/>
                <w:bCs w:val="false"/>
                <w:sz w:val="19"/>
                <w:szCs w:val="19"/>
              </w:rPr>
              <w:t xml:space="preserve">0.176</w:t>
            </w:r>
          </w:p>
        </w:tc>
        <w:tc>
          <w:tcPr>
            <w:tcW w:type="dxa" w:w="1950"/>
            <w:tcBorders>
              <w:top w:val="none" w:color="FFFFFF" w:sz="0"/>
              <w:left w:val="none" w:color="FFFFFF" w:sz="0"/>
              <w:bottom w:val="single" w:color="BFBFBF" w:sz="4"/>
              <w:right w:val="none" w:color="FFFFFF" w:sz="0"/>
            </w:tcBorders>
            <w:shd w:fill="F7F7F7" w:color="auto" w:val="clear"/>
            <w:tcMar>
              <w:top w:type="dxa" w:w="50"/>
              <w:left w:type="dxa" w:w="90"/>
              <w:bottom w:type="dxa" w:w="50"/>
              <w:right w:type="dxa" w:w="90"/>
            </w:tcMar>
          </w:tcPr>
          <w:p>
            <w:pPr>
              <w:keepNext/>
              <w:jc w:val="right"/>
            </w:pPr>
            <w:r>
              <w:rPr>
                <w:b w:val="false"/>
                <w:bCs w:val="false"/>
                <w:sz w:val="19"/>
                <w:szCs w:val="19"/>
              </w:rPr>
              <w:t xml:space="preserve">0.280</w:t>
            </w:r>
          </w:p>
        </w:tc>
        <w:tc>
          <w:tcPr>
            <w:tcW w:type="dxa" w:w="1850"/>
            <w:tcBorders>
              <w:top w:val="none" w:color="FFFFFF" w:sz="0"/>
              <w:left w:val="none" w:color="FFFFFF" w:sz="0"/>
              <w:bottom w:val="single" w:color="BFBFBF" w:sz="4"/>
              <w:right w:val="none" w:color="FFFFFF" w:sz="0"/>
            </w:tcBorders>
            <w:shd w:fill="F7F7F7" w:color="auto" w:val="clear"/>
            <w:tcMar>
              <w:top w:type="dxa" w:w="50"/>
              <w:left w:type="dxa" w:w="90"/>
              <w:bottom w:type="dxa" w:w="50"/>
              <w:right w:type="dxa" w:w="90"/>
            </w:tcMar>
          </w:tcPr>
          <w:p>
            <w:pPr>
              <w:keepNext/>
              <w:jc w:val="right"/>
            </w:pPr>
            <w:r>
              <w:rPr>
                <w:b w:val="false"/>
                <w:bCs w:val="false"/>
                <w:sz w:val="19"/>
                <w:szCs w:val="19"/>
              </w:rPr>
              <w:t xml:space="preserve">1.113</w:t>
            </w:r>
          </w:p>
        </w:tc>
      </w:tr>
      <w:tr>
        <w:trPr>
          <w:cantSplit/>
        </w:trPr>
        <w:tc>
          <w:tcPr>
            <w:tcW w:type="dxa" w:w="2140"/>
            <w:tcBorders>
              <w:top w:val="none" w:color="FFFFFF" w:sz="0"/>
              <w:left w:val="none" w:color="FFFFFF" w:sz="0"/>
              <w:bottom w:val="single" w:color="BFBFBF" w:sz="4"/>
              <w:right w:val="none" w:color="FFFFFF" w:sz="0"/>
            </w:tcBorders>
            <w:tcMar>
              <w:top w:type="dxa" w:w="50"/>
              <w:left w:type="dxa" w:w="90"/>
              <w:bottom w:type="dxa" w:w="50"/>
              <w:right w:type="dxa" w:w="90"/>
            </w:tcMar>
          </w:tcPr>
          <w:p>
            <w:pPr>
              <w:keepNext w:val="false"/>
              <w:jc w:val="left"/>
            </w:pPr>
            <w:r>
              <w:rPr>
                <w:b w:val="false"/>
                <w:bCs w:val="false"/>
                <w:sz w:val="19"/>
                <w:szCs w:val="19"/>
              </w:rPr>
              <w:t xml:space="preserve">Merton JD</w:t>
            </w:r>
          </w:p>
        </w:tc>
        <w:tc>
          <w:tcPr>
            <w:tcW w:type="dxa" w:w="1900"/>
            <w:tcBorders>
              <w:top w:val="none" w:color="FFFFFF" w:sz="0"/>
              <w:left w:val="none" w:color="FFFFFF" w:sz="0"/>
              <w:bottom w:val="single" w:color="BFBFBF" w:sz="4"/>
              <w:right w:val="none" w:color="FFFFFF" w:sz="0"/>
            </w:tcBorders>
            <w:tcMar>
              <w:top w:type="dxa" w:w="50"/>
              <w:left w:type="dxa" w:w="90"/>
              <w:bottom w:type="dxa" w:w="50"/>
              <w:right w:type="dxa" w:w="90"/>
            </w:tcMar>
          </w:tcPr>
          <w:p>
            <w:pPr>
              <w:keepNext w:val="false"/>
              <w:jc w:val="right"/>
            </w:pPr>
            <w:r>
              <w:rPr>
                <w:b w:val="false"/>
                <w:bCs w:val="false"/>
                <w:sz w:val="19"/>
                <w:szCs w:val="19"/>
              </w:rPr>
              <w:t xml:space="preserve">93.2%</w:t>
            </w:r>
          </w:p>
        </w:tc>
        <w:tc>
          <w:tcPr>
            <w:tcW w:type="dxa" w:w="1800"/>
            <w:tcBorders>
              <w:top w:val="none" w:color="FFFFFF" w:sz="0"/>
              <w:left w:val="none" w:color="FFFFFF" w:sz="0"/>
              <w:bottom w:val="single" w:color="BFBFBF" w:sz="4"/>
              <w:right w:val="none" w:color="FFFFFF" w:sz="0"/>
            </w:tcBorders>
            <w:tcMar>
              <w:top w:type="dxa" w:w="50"/>
              <w:left w:type="dxa" w:w="90"/>
              <w:bottom w:type="dxa" w:w="50"/>
              <w:right w:type="dxa" w:w="90"/>
            </w:tcMar>
          </w:tcPr>
          <w:p>
            <w:pPr>
              <w:keepNext w:val="false"/>
              <w:jc w:val="right"/>
            </w:pPr>
            <w:r>
              <w:rPr>
                <w:b w:val="false"/>
                <w:bCs w:val="false"/>
                <w:sz w:val="19"/>
                <w:szCs w:val="19"/>
              </w:rPr>
              <w:t xml:space="preserve">0.344</w:t>
            </w:r>
          </w:p>
        </w:tc>
        <w:tc>
          <w:tcPr>
            <w:tcW w:type="dxa" w:w="1950"/>
            <w:tcBorders>
              <w:top w:val="none" w:color="FFFFFF" w:sz="0"/>
              <w:left w:val="none" w:color="FFFFFF" w:sz="0"/>
              <w:bottom w:val="single" w:color="BFBFBF" w:sz="4"/>
              <w:right w:val="none" w:color="FFFFFF" w:sz="0"/>
            </w:tcBorders>
            <w:tcMar>
              <w:top w:type="dxa" w:w="50"/>
              <w:left w:type="dxa" w:w="90"/>
              <w:bottom w:type="dxa" w:w="50"/>
              <w:right w:type="dxa" w:w="90"/>
            </w:tcMar>
          </w:tcPr>
          <w:p>
            <w:pPr>
              <w:keepNext w:val="false"/>
              <w:jc w:val="right"/>
            </w:pPr>
            <w:r>
              <w:rPr>
                <w:b w:val="false"/>
                <w:bCs w:val="false"/>
                <w:sz w:val="19"/>
                <w:szCs w:val="19"/>
              </w:rPr>
              <w:t xml:space="preserve">0.606</w:t>
            </w:r>
          </w:p>
        </w:tc>
        <w:tc>
          <w:tcPr>
            <w:tcW w:type="dxa" w:w="1850"/>
            <w:tcBorders>
              <w:top w:val="none" w:color="FFFFFF" w:sz="0"/>
              <w:left w:val="none" w:color="FFFFFF" w:sz="0"/>
              <w:bottom w:val="single" w:color="BFBFBF" w:sz="4"/>
              <w:right w:val="none" w:color="FFFFFF" w:sz="0"/>
            </w:tcBorders>
            <w:tcMar>
              <w:top w:type="dxa" w:w="50"/>
              <w:left w:type="dxa" w:w="90"/>
              <w:bottom w:type="dxa" w:w="50"/>
              <w:right w:type="dxa" w:w="90"/>
            </w:tcMar>
          </w:tcPr>
          <w:p>
            <w:pPr>
              <w:keepNext w:val="false"/>
              <w:jc w:val="right"/>
            </w:pPr>
            <w:r>
              <w:rPr>
                <w:b w:val="false"/>
                <w:bCs w:val="false"/>
                <w:sz w:val="19"/>
                <w:szCs w:val="19"/>
              </w:rPr>
              <w:t xml:space="preserve">1.073</w:t>
            </w:r>
          </w:p>
        </w:tc>
      </w:tr>
    </w:tbl>
    <w:p>
      <w:pPr>
        <w:spacing w:after="220" w:before="60"/>
      </w:pPr>
      <w:r>
        <w:rPr>
          <w:i/>
          <w:iCs/>
          <w:color w:val="595959"/>
          <w:sz w:val="19"/>
          <w:szCs w:val="19"/>
        </w:rPr>
        <w:t xml:space="preserve">Note. </w:t>
      </w:r>
      <w:r>
        <w:rPr>
          <w:color w:val="595959"/>
          <w:sz w:val="19"/>
          <w:szCs w:val="19"/>
        </w:rPr>
        <w:t xml:space="preserve">Higher log score is better (sharper and well-calibrated). Neighbouring 30-day windows overlap, so the observations are not independent and the p-values are indicative.</w:t>
      </w:r>
    </w:p>
    <w:p>
      <w:pPr>
        <w:keepNext/>
        <w:spacing w:after="0" w:before="200"/>
      </w:pPr>
      <w:r>
        <w:rPr>
          <w:b/>
          <w:bCs/>
        </w:rPr>
        <w:t xml:space="preserve">Figure 8</w:t>
      </w:r>
    </w:p>
    <w:p>
      <w:pPr>
        <w:keepNext/>
        <w:spacing w:after="100"/>
      </w:pPr>
      <w:r>
        <w:rPr>
          <w:i/>
          <w:iCs/>
        </w:rPr>
        <w:t xml:space="preserve">Distribution of Probability Integral Transform Values in the Rolling Backtest</w:t>
      </w:r>
    </w:p>
    <w:p>
      <w:pPr>
        <w:keepNext/>
        <w:jc w:val="center"/>
      </w:pPr>
      <w:r>
        <w:drawing>
          <wp:inline distT="0" distB="0" distL="0" distR="0">
            <wp:extent cx="5669280" cy="1995381"/>
            <wp:effectExtent t="0" r="0" b="0" l="0"/>
            <wp:docPr id="1" name="fig8_backtest_pit.png" descr="Distribution of Probability Integral Transform Values in the Rolling Backtest"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669280" cy="1995381"/>
                    </a:xfrm>
                    <a:prstGeom prst="rect">
                      <a:avLst/>
                    </a:prstGeom>
                  </pic:spPr>
                </pic:pic>
              </a:graphicData>
            </a:graphic>
          </wp:inline>
        </w:drawing>
      </w:r>
    </w:p>
    <w:p>
      <w:pPr>
        <w:spacing w:after="220" w:before="60"/>
      </w:pPr>
      <w:r>
        <w:rPr>
          <w:i/>
          <w:iCs/>
          <w:color w:val="595959"/>
          <w:sz w:val="19"/>
          <w:szCs w:val="19"/>
        </w:rPr>
        <w:t xml:space="preserve">Note. </w:t>
      </w:r>
      <w:r>
        <w:rPr>
          <w:color w:val="595959"/>
          <w:sz w:val="19"/>
          <w:szCs w:val="19"/>
        </w:rPr>
        <w:t xml:space="preserve">A well-calibrated forecaster produces a flat histogram (dashed line). The OU histogram is U-shaped, with too many outcomes in the extreme deciles, which indicates intervals that are too narrow.</w:t>
      </w:r>
    </w:p>
    <w:p>
      <w:pPr>
        <w:spacing w:after="140" w:line="288"/>
        <w:jc w:val="both"/>
      </w:pPr>
      <w:r>
        <w:t xml:space="preserve">GBM and Merton are well calibrated, with slightly conservative intervals (95% and 93% coverage for a nominal 90%) and roughly flat PIT histograms. OU covers only 85% of outcomes, and its U-shaped PIT histogram confirms that it underestimates uncertainty. It nevertheless has the highest average log score, because its sharper forecasts are rewarded whenever the price does revert. With 73 overlapping observations none of these differences is statistically significant (all Kupiec p &gt; 0.15). The honest conclusion is that </w:t>
      </w:r>
      <w:r>
        <w:rPr>
          <w:b/>
          <w:bCs/>
        </w:rPr>
        <w:t xml:space="preserve">no model shows a reliable edge in predicting direction</w:t>
      </w:r>
      <w:r>
        <w:t xml:space="preserve">, while GBM and Merton describe the size of one-month uncertainty well.</w:t>
      </w:r>
    </w:p>
    <w:p>
      <w:pPr>
        <w:pStyle w:val="Heading1"/>
      </w:pPr>
      <w:r>
        <w:t xml:space="preserve">6. Realism and Limitations of the Models</w:t>
      </w:r>
    </w:p>
    <w:p>
      <w:pPr>
        <w:keepNext/>
        <w:spacing w:after="0" w:before="200"/>
      </w:pPr>
      <w:r>
        <w:rPr>
          <w:b/>
          <w:bCs/>
        </w:rPr>
        <w:t xml:space="preserve">Table 6</w:t>
      </w:r>
    </w:p>
    <w:p>
      <w:pPr>
        <w:keepNext/>
        <w:spacing w:after="100"/>
      </w:pPr>
      <w:r>
        <w:rPr>
          <w:i/>
          <w:iCs/>
        </w:rPr>
        <w:t xml:space="preserve">Strengths and Weaknesses of Each Model for AAPL</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500"/>
        <w:gridCol w:w="4070"/>
        <w:gridCol w:w="4070"/>
      </w:tblGrid>
      <w:tr>
        <w:trPr>
          <w:tblHeader/>
        </w:trPr>
        <w:tc>
          <w:tcPr>
            <w:tcW w:type="dxa" w:w="1500"/>
            <w:tcBorders>
              <w:top w:val="single" w:color="BFBFBF" w:sz="4"/>
              <w:left w:val="none" w:color="FFFFFF" w:sz="0"/>
              <w:bottom w:val="single" w:color="BFBFBF" w:sz="4"/>
              <w:right w:val="none" w:color="FFFFFF" w:sz="0"/>
            </w:tcBorders>
            <w:shd w:fill="E8EEF5" w:color="auto" w:val="clear"/>
            <w:tcMar>
              <w:top w:type="dxa" w:w="50"/>
              <w:left w:type="dxa" w:w="90"/>
              <w:bottom w:type="dxa" w:w="50"/>
              <w:right w:type="dxa" w:w="90"/>
            </w:tcMar>
          </w:tcPr>
          <w:p>
            <w:pPr>
              <w:keepNext/>
              <w:jc w:val="left"/>
            </w:pPr>
            <w:r>
              <w:rPr>
                <w:b/>
                <w:bCs/>
                <w:sz w:val="19"/>
                <w:szCs w:val="19"/>
              </w:rPr>
              <w:t xml:space="preserve">Model</w:t>
            </w:r>
          </w:p>
        </w:tc>
        <w:tc>
          <w:tcPr>
            <w:tcW w:type="dxa" w:w="4070"/>
            <w:tcBorders>
              <w:top w:val="single" w:color="BFBFBF" w:sz="4"/>
              <w:left w:val="none" w:color="FFFFFF" w:sz="0"/>
              <w:bottom w:val="single" w:color="BFBFBF" w:sz="4"/>
              <w:right w:val="none" w:color="FFFFFF" w:sz="0"/>
            </w:tcBorders>
            <w:shd w:fill="E8EEF5" w:color="auto" w:val="clear"/>
            <w:tcMar>
              <w:top w:type="dxa" w:w="50"/>
              <w:left w:type="dxa" w:w="90"/>
              <w:bottom w:type="dxa" w:w="50"/>
              <w:right w:type="dxa" w:w="90"/>
            </w:tcMar>
          </w:tcPr>
          <w:p>
            <w:pPr>
              <w:keepNext/>
              <w:jc w:val="left"/>
            </w:pPr>
            <w:r>
              <w:rPr>
                <w:b/>
                <w:bCs/>
                <w:sz w:val="19"/>
                <w:szCs w:val="19"/>
              </w:rPr>
              <w:t xml:space="preserve">Strengths</w:t>
            </w:r>
          </w:p>
        </w:tc>
        <w:tc>
          <w:tcPr>
            <w:tcW w:type="dxa" w:w="4070"/>
            <w:tcBorders>
              <w:top w:val="single" w:color="BFBFBF" w:sz="4"/>
              <w:left w:val="none" w:color="FFFFFF" w:sz="0"/>
              <w:bottom w:val="single" w:color="BFBFBF" w:sz="4"/>
              <w:right w:val="none" w:color="FFFFFF" w:sz="0"/>
            </w:tcBorders>
            <w:shd w:fill="E8EEF5" w:color="auto" w:val="clear"/>
            <w:tcMar>
              <w:top w:type="dxa" w:w="50"/>
              <w:left w:type="dxa" w:w="90"/>
              <w:bottom w:type="dxa" w:w="50"/>
              <w:right w:type="dxa" w:w="90"/>
            </w:tcMar>
          </w:tcPr>
          <w:p>
            <w:pPr>
              <w:keepNext/>
              <w:jc w:val="left"/>
            </w:pPr>
            <w:r>
              <w:rPr>
                <w:b/>
                <w:bCs/>
                <w:sz w:val="19"/>
                <w:szCs w:val="19"/>
              </w:rPr>
              <w:t xml:space="preserve">Weaknesses</w:t>
            </w:r>
          </w:p>
        </w:tc>
      </w:tr>
      <w:tr>
        <w:trPr>
          <w:cantSplit/>
        </w:trPr>
        <w:tc>
          <w:tcPr>
            <w:tcW w:type="dxa" w:w="1500"/>
            <w:tcBorders>
              <w:top w:val="none" w:color="FFFFFF" w:sz="0"/>
              <w:left w:val="none" w:color="FFFFFF" w:sz="0"/>
              <w:bottom w:val="single" w:color="BFBFBF" w:sz="4"/>
              <w:right w:val="none" w:color="FFFFFF" w:sz="0"/>
            </w:tcBorders>
            <w:tcMar>
              <w:top w:type="dxa" w:w="50"/>
              <w:left w:type="dxa" w:w="90"/>
              <w:bottom w:type="dxa" w:w="50"/>
              <w:right w:type="dxa" w:w="90"/>
            </w:tcMar>
          </w:tcPr>
          <w:p>
            <w:pPr>
              <w:keepNext/>
              <w:jc w:val="left"/>
            </w:pPr>
            <w:r>
              <w:rPr>
                <w:b w:val="false"/>
                <w:bCs w:val="false"/>
                <w:sz w:val="19"/>
                <w:szCs w:val="19"/>
              </w:rPr>
              <w:t xml:space="preserve">GBM</w:t>
            </w:r>
          </w:p>
        </w:tc>
        <w:tc>
          <w:tcPr>
            <w:tcW w:type="dxa" w:w="4070"/>
            <w:tcBorders>
              <w:top w:val="none" w:color="FFFFFF" w:sz="0"/>
              <w:left w:val="none" w:color="FFFFFF" w:sz="0"/>
              <w:bottom w:val="single" w:color="BFBFBF" w:sz="4"/>
              <w:right w:val="none" w:color="FFFFFF" w:sz="0"/>
            </w:tcBorders>
            <w:tcMar>
              <w:top w:type="dxa" w:w="50"/>
              <w:left w:type="dxa" w:w="90"/>
              <w:bottom w:type="dxa" w:w="50"/>
              <w:right w:type="dxa" w:w="90"/>
            </w:tcMar>
          </w:tcPr>
          <w:p>
            <w:pPr>
              <w:keepNext/>
              <w:jc w:val="left"/>
            </w:pPr>
            <w:r>
              <w:rPr>
                <w:b w:val="false"/>
                <w:bCs w:val="false"/>
                <w:sz w:val="19"/>
                <w:szCs w:val="19"/>
              </w:rPr>
              <w:t xml:space="preserve">Simple and analytically tractable; prices stay positive; consistent with the unit-root evidence; well-calibrated 30-day intervals</w:t>
            </w:r>
          </w:p>
        </w:tc>
        <w:tc>
          <w:tcPr>
            <w:tcW w:type="dxa" w:w="4070"/>
            <w:tcBorders>
              <w:top w:val="none" w:color="FFFFFF" w:sz="0"/>
              <w:left w:val="none" w:color="FFFFFF" w:sz="0"/>
              <w:bottom w:val="single" w:color="BFBFBF" w:sz="4"/>
              <w:right w:val="none" w:color="FFFFFF" w:sz="0"/>
            </w:tcBorders>
            <w:tcMar>
              <w:top w:type="dxa" w:w="50"/>
              <w:left w:type="dxa" w:w="90"/>
              <w:bottom w:type="dxa" w:w="50"/>
              <w:right w:type="dxa" w:w="90"/>
            </w:tcMar>
          </w:tcPr>
          <w:p>
            <w:pPr>
              <w:keepNext/>
              <w:jc w:val="left"/>
            </w:pPr>
            <w:r>
              <w:rPr>
                <w:b w:val="false"/>
                <w:bCs w:val="false"/>
                <w:sz w:val="19"/>
                <w:szCs w:val="19"/>
              </w:rPr>
              <w:t xml:space="preserve">Normal returns understate tail risk (kurtosis 10.6 observed); constant volatility ignores clustering; drift estimate very noisy</w:t>
            </w:r>
          </w:p>
        </w:tc>
      </w:tr>
      <w:tr>
        <w:trPr>
          <w:cantSplit/>
        </w:trPr>
        <w:tc>
          <w:tcPr>
            <w:tcW w:type="dxa" w:w="1500"/>
            <w:tcBorders>
              <w:top w:val="none" w:color="FFFFFF" w:sz="0"/>
              <w:left w:val="none" w:color="FFFFFF" w:sz="0"/>
              <w:bottom w:val="single" w:color="BFBFBF" w:sz="4"/>
              <w:right w:val="none" w:color="FFFFFF" w:sz="0"/>
            </w:tcBorders>
            <w:shd w:fill="F7F7F7" w:color="auto" w:val="clear"/>
            <w:tcMar>
              <w:top w:type="dxa" w:w="50"/>
              <w:left w:type="dxa" w:w="90"/>
              <w:bottom w:type="dxa" w:w="50"/>
              <w:right w:type="dxa" w:w="90"/>
            </w:tcMar>
          </w:tcPr>
          <w:p>
            <w:pPr>
              <w:keepNext/>
              <w:jc w:val="left"/>
            </w:pPr>
            <w:r>
              <w:rPr>
                <w:b w:val="false"/>
                <w:bCs w:val="false"/>
                <w:sz w:val="19"/>
                <w:szCs w:val="19"/>
              </w:rPr>
              <w:t xml:space="preserve">OU (trend)</w:t>
            </w:r>
          </w:p>
        </w:tc>
        <w:tc>
          <w:tcPr>
            <w:tcW w:type="dxa" w:w="4070"/>
            <w:tcBorders>
              <w:top w:val="none" w:color="FFFFFF" w:sz="0"/>
              <w:left w:val="none" w:color="FFFFFF" w:sz="0"/>
              <w:bottom w:val="single" w:color="BFBFBF" w:sz="4"/>
              <w:right w:val="none" w:color="FFFFFF" w:sz="0"/>
            </w:tcBorders>
            <w:shd w:fill="F7F7F7" w:color="auto" w:val="clear"/>
            <w:tcMar>
              <w:top w:type="dxa" w:w="50"/>
              <w:left w:type="dxa" w:w="90"/>
              <w:bottom w:type="dxa" w:w="50"/>
              <w:right w:type="dxa" w:w="90"/>
            </w:tcMar>
          </w:tcPr>
          <w:p>
            <w:pPr>
              <w:keepNext/>
              <w:jc w:val="left"/>
            </w:pPr>
            <w:r>
              <w:rPr>
                <w:b w:val="false"/>
                <w:bCs w:val="false"/>
                <w:sz w:val="19"/>
                <w:szCs w:val="19"/>
              </w:rPr>
              <w:t xml:space="preserve">Captures pull-backs after overextension; bounded long-horizon uncertainty; sharpest forecasts</w:t>
            </w:r>
          </w:p>
        </w:tc>
        <w:tc>
          <w:tcPr>
            <w:tcW w:type="dxa" w:w="4070"/>
            <w:tcBorders>
              <w:top w:val="none" w:color="FFFFFF" w:sz="0"/>
              <w:left w:val="none" w:color="FFFFFF" w:sz="0"/>
              <w:bottom w:val="single" w:color="BFBFBF" w:sz="4"/>
              <w:right w:val="none" w:color="FFFFFF" w:sz="0"/>
            </w:tcBorders>
            <w:shd w:fill="F7F7F7" w:color="auto" w:val="clear"/>
            <w:tcMar>
              <w:top w:type="dxa" w:w="50"/>
              <w:left w:type="dxa" w:w="90"/>
              <w:bottom w:type="dxa" w:w="50"/>
              <w:right w:type="dxa" w:w="90"/>
            </w:tcMar>
          </w:tcPr>
          <w:p>
            <w:pPr>
              <w:keepNext/>
              <w:jc w:val="left"/>
            </w:pPr>
            <w:r>
              <w:rPr>
                <w:b w:val="false"/>
                <w:bCs w:val="false"/>
                <w:sz w:val="19"/>
                <w:szCs w:val="19"/>
              </w:rPr>
              <w:t xml:space="preserve">Mean reversion not supported by ADF; θ biased upward; intervals too narrow out of sample; trend line is a modelling choice</w:t>
            </w:r>
          </w:p>
        </w:tc>
      </w:tr>
      <w:tr>
        <w:trPr>
          <w:cantSplit/>
        </w:trPr>
        <w:tc>
          <w:tcPr>
            <w:tcW w:type="dxa" w:w="1500"/>
            <w:tcBorders>
              <w:top w:val="none" w:color="FFFFFF" w:sz="0"/>
              <w:left w:val="none" w:color="FFFFFF" w:sz="0"/>
              <w:bottom w:val="single" w:color="BFBFBF" w:sz="4"/>
              <w:right w:val="none" w:color="FFFFFF" w:sz="0"/>
            </w:tcBorders>
            <w:tcMar>
              <w:top w:type="dxa" w:w="50"/>
              <w:left w:type="dxa" w:w="90"/>
              <w:bottom w:type="dxa" w:w="50"/>
              <w:right w:type="dxa" w:w="90"/>
            </w:tcMar>
          </w:tcPr>
          <w:p>
            <w:pPr>
              <w:keepNext w:val="false"/>
              <w:jc w:val="left"/>
            </w:pPr>
            <w:r>
              <w:rPr>
                <w:b w:val="false"/>
                <w:bCs w:val="false"/>
                <w:sz w:val="19"/>
                <w:szCs w:val="19"/>
              </w:rPr>
              <w:t xml:space="preserve">Merton JD</w:t>
            </w:r>
          </w:p>
        </w:tc>
        <w:tc>
          <w:tcPr>
            <w:tcW w:type="dxa" w:w="4070"/>
            <w:tcBorders>
              <w:top w:val="none" w:color="FFFFFF" w:sz="0"/>
              <w:left w:val="none" w:color="FFFFFF" w:sz="0"/>
              <w:bottom w:val="single" w:color="BFBFBF" w:sz="4"/>
              <w:right w:val="none" w:color="FFFFFF" w:sz="0"/>
            </w:tcBorders>
            <w:tcMar>
              <w:top w:type="dxa" w:w="50"/>
              <w:left w:type="dxa" w:w="90"/>
              <w:bottom w:type="dxa" w:w="50"/>
              <w:right w:type="dxa" w:w="90"/>
            </w:tcMar>
          </w:tcPr>
          <w:p>
            <w:pPr>
              <w:keepNext w:val="false"/>
              <w:jc w:val="left"/>
            </w:pPr>
            <w:r>
              <w:rPr>
                <w:b w:val="false"/>
                <w:bCs w:val="false"/>
                <w:sz w:val="19"/>
                <w:szCs w:val="19"/>
              </w:rPr>
              <w:t xml:space="preserve">Best in-sample fit; models crash and earnings-gap risk explicitly; well-calibrated intervals</w:t>
            </w:r>
          </w:p>
        </w:tc>
        <w:tc>
          <w:tcPr>
            <w:tcW w:type="dxa" w:w="4070"/>
            <w:tcBorders>
              <w:top w:val="none" w:color="FFFFFF" w:sz="0"/>
              <w:left w:val="none" w:color="FFFFFF" w:sz="0"/>
              <w:bottom w:val="single" w:color="BFBFBF" w:sz="4"/>
              <w:right w:val="none" w:color="FFFFFF" w:sz="0"/>
            </w:tcBorders>
            <w:tcMar>
              <w:top w:type="dxa" w:w="50"/>
              <w:left w:type="dxa" w:w="90"/>
              <w:bottom w:type="dxa" w:w="50"/>
              <w:right w:type="dxa" w:w="90"/>
            </w:tcMar>
          </w:tcPr>
          <w:p>
            <w:pPr>
              <w:keepNext w:val="false"/>
              <w:jc w:val="left"/>
            </w:pPr>
            <w:r>
              <w:rPr>
                <w:b w:val="false"/>
                <w:bCs w:val="false"/>
                <w:sz w:val="19"/>
                <w:szCs w:val="19"/>
              </w:rPr>
              <w:t xml:space="preserve">Jump intensity poorly identified (cap binds); jumps independent of each other; still constant diffusion volatility</w:t>
            </w:r>
          </w:p>
        </w:tc>
      </w:tr>
    </w:tbl>
    <w:p>
      <w:pPr>
        <w:spacing w:after="160"/>
      </w:pPr>
    </w:p>
    <w:p>
      <w:pPr>
        <w:spacing w:after="140" w:line="288"/>
        <w:jc w:val="both"/>
      </w:pPr>
      <w:r>
        <w:t xml:space="preserve">Several limitations are shared by all three models:</w:t>
      </w:r>
    </w:p>
    <w:p>
      <w:pPr>
        <w:pStyle w:val="ListParagraph"/>
        <w:numPr>
          <w:ilvl w:val="0"/>
          <w:numId w:val="2"/>
        </w:numPr>
        <w:spacing w:after="80" w:line="276"/>
      </w:pPr>
      <w:r>
        <w:rPr>
          <w:b/>
          <w:bCs/>
        </w:rPr>
        <w:t xml:space="preserve">Constant volatility.</w:t>
      </w:r>
      <w:r>
        <w:t xml:space="preserve"> The strongest pattern in the data is volatility clustering (Ljung–Box on squared returns, p &lt; 0.0001). After a shock such as April 2025, real risk stays elevated for weeks, while these models assume it returns to average immediately. Stochastic-volatility (Heston) or GARCH-type models address this directly.</w:t>
      </w:r>
    </w:p>
    <w:p>
      <w:pPr>
        <w:pStyle w:val="ListParagraph"/>
        <w:numPr>
          <w:ilvl w:val="0"/>
          <w:numId w:val="2"/>
        </w:numPr>
        <w:spacing w:after="80" w:line="276"/>
      </w:pPr>
      <w:r>
        <w:rPr>
          <w:b/>
          <w:bCs/>
        </w:rPr>
        <w:t xml:space="preserve">Parameter uncertainty.</w:t>
      </w:r>
      <w:r>
        <w:t xml:space="preserve"> Forecasts use point estimates, while the drift in particular is uncertain by about ±20 percentage points per year. Bayesian or bootstrap simulation that also draws the parameters would give wider, more honest long-horizon intervals.</w:t>
      </w:r>
    </w:p>
    <w:p>
      <w:pPr>
        <w:pStyle w:val="ListParagraph"/>
        <w:numPr>
          <w:ilvl w:val="0"/>
          <w:numId w:val="2"/>
        </w:numPr>
        <w:spacing w:after="80" w:line="276"/>
      </w:pPr>
      <w:r>
        <w:rPr>
          <w:b/>
          <w:bCs/>
        </w:rPr>
        <w:t xml:space="preserve">Stationarity of the regime.</w:t>
      </w:r>
      <w:r>
        <w:t xml:space="preserve"> Calibrating on two exceptional years for AAPL builds a strong upward drift into GBM and Merton. A different window would change the central forecasts considerably, while volatility estimates are much more stable.</w:t>
      </w:r>
    </w:p>
    <w:p>
      <w:pPr>
        <w:pStyle w:val="ListParagraph"/>
        <w:numPr>
          <w:ilvl w:val="0"/>
          <w:numId w:val="2"/>
        </w:numPr>
        <w:spacing w:after="80" w:line="276"/>
      </w:pPr>
      <w:r>
        <w:rPr>
          <w:b/>
          <w:bCs/>
        </w:rPr>
        <w:t xml:space="preserve">Single stock, single data source, and stale endpoint.</w:t>
      </w:r>
      <w:r>
        <w:t xml:space="preserve"> The analysis covers one stock and ends on 13 July 2026, because live market data could not be retrieved in the analysis environment. The 30- and 60-day horizons have therefore already elapsed in calendar time; rerunning the pipeline with </w:t>
      </w:r>
      <w:r>
        <w:rPr>
          <w:i/>
          <w:iCs/>
        </w:rPr>
        <w:t xml:space="preserve">--source yfinance</w:t>
      </w:r>
      <w:r>
        <w:t xml:space="preserve"> updates every result.</w:t>
      </w:r>
    </w:p>
    <w:p>
      <w:pPr>
        <w:pStyle w:val="ListParagraph"/>
        <w:numPr>
          <w:ilvl w:val="0"/>
          <w:numId w:val="2"/>
        </w:numPr>
        <w:spacing w:after="80" w:line="276"/>
      </w:pPr>
      <w:r>
        <w:rPr>
          <w:b/>
          <w:bCs/>
        </w:rPr>
        <w:t xml:space="preserve">Physical vs. risk-neutral measure.</w:t>
      </w:r>
      <w:r>
        <w:t xml:space="preserve"> All simulations use real-world (historical) drift and are suitable for risk assessment, not for pricing options, which requires replacing μ with the risk-free rate.</w:t>
      </w:r>
    </w:p>
    <w:p>
      <w:pPr>
        <w:pStyle w:val="Heading1"/>
      </w:pPr>
      <w:r>
        <w:t xml:space="preserve">7. Recommendations for Investors</w:t>
      </w:r>
    </w:p>
    <w:p>
      <w:pPr>
        <w:pStyle w:val="ListParagraph"/>
        <w:numPr>
          <w:ilvl w:val="0"/>
          <w:numId w:val="3"/>
        </w:numPr>
        <w:spacing w:after="100" w:line="276"/>
      </w:pPr>
      <w:r>
        <w:rPr>
          <w:b/>
          <w:bCs/>
        </w:rPr>
        <w:t xml:space="preserve">Use the models for risk sizing, not market timing.</w:t>
      </w:r>
      <w:r>
        <w:t xml:space="preserve"> The backtest shows the models describe the size of uncertainty well but cannot predict direction. Base position sizes and stop-loss levels on the volatility-driven outputs, for example a one-month 95% VaR of about 12% and a CVaR of about 16%.</w:t>
      </w:r>
    </w:p>
    <w:p>
      <w:pPr>
        <w:pStyle w:val="ListParagraph"/>
        <w:numPr>
          <w:ilvl w:val="0"/>
          <w:numId w:val="3"/>
        </w:numPr>
        <w:spacing w:after="100" w:line="276"/>
      </w:pPr>
      <w:r>
        <w:rPr>
          <w:b/>
          <w:bCs/>
        </w:rPr>
        <w:t xml:space="preserve">Plan for tail events.</w:t>
      </w:r>
      <w:r>
        <w:t xml:space="preserve"> Jump risk accounts for about 37% of AAPL's return variance, and single-day moves of ±10–14% occurred in the sample. Investors with leverage or short option positions should stress-test against a 15–20% gap move, not just the normal-distribution VaR. Protective puts or collars are worth considering around earnings dates.</w:t>
      </w:r>
    </w:p>
    <w:p>
      <w:pPr>
        <w:pStyle w:val="ListParagraph"/>
        <w:numPr>
          <w:ilvl w:val="0"/>
          <w:numId w:val="3"/>
        </w:numPr>
        <w:spacing w:after="100" w:line="276"/>
      </w:pPr>
      <w:r>
        <w:rPr>
          <w:b/>
          <w:bCs/>
        </w:rPr>
        <w:t xml:space="preserve">Match the holding period to the evidence.</w:t>
      </w:r>
      <w:r>
        <w:t xml:space="preserve"> Over 6–12 months GBM and Merton give a 70–75% chance of a gain, but that relies on a drift estimate inflated by an exceptional period. Long-term investors should rely on fundamentals for the expected return and use the simulations only for the range of outcomes.</w:t>
      </w:r>
    </w:p>
    <w:p>
      <w:pPr>
        <w:pStyle w:val="ListParagraph"/>
        <w:numPr>
          <w:ilvl w:val="0"/>
          <w:numId w:val="3"/>
        </w:numPr>
        <w:spacing w:after="100" w:line="276"/>
      </w:pPr>
      <w:r>
        <w:rPr>
          <w:b/>
          <w:bCs/>
        </w:rPr>
        <w:t xml:space="preserve">Treat the mean-reversion signal as a caution, not a sell signal.</w:t>
      </w:r>
      <w:r>
        <w:t xml:space="preserve"> AAPL trades 14% above its two-year trend. This argues against adding aggressively at current levels and for averaging into new positions. It does not justify selling, given the weak statistical support and the missed breakout in the hold-out test.</w:t>
      </w:r>
    </w:p>
    <w:p>
      <w:pPr>
        <w:pStyle w:val="ListParagraph"/>
        <w:numPr>
          <w:ilvl w:val="0"/>
          <w:numId w:val="3"/>
        </w:numPr>
        <w:spacing w:after="100" w:line="276"/>
      </w:pPr>
      <w:r>
        <w:rPr>
          <w:b/>
          <w:bCs/>
        </w:rPr>
        <w:t xml:space="preserve">Diversify.</w:t>
      </w:r>
      <w:r>
        <w:t xml:space="preserve"> With an annual volatility of about 28% and a typical 180-day drawdown near 17–19%, a concentrated AAPL position carries substantial idiosyncratic risk. Holding it within a diversified portfolio reduces that risk without giving up its expected return.</w:t>
      </w:r>
    </w:p>
    <w:p>
      <w:pPr>
        <w:pStyle w:val="ListParagraph"/>
        <w:numPr>
          <w:ilvl w:val="0"/>
          <w:numId w:val="3"/>
        </w:numPr>
        <w:spacing w:after="100" w:line="276"/>
      </w:pPr>
      <w:r>
        <w:rPr>
          <w:b/>
          <w:bCs/>
        </w:rPr>
        <w:t xml:space="preserve">Monitor and recalibrate.</w:t>
      </w:r>
      <w:r>
        <w:t xml:space="preserve"> Re-estimate the parameters at least monthly, and immediately after volatility shocks. Extending the framework with stochastic volatility would make the risk estimates respond to changing market conditions.</w:t>
      </w:r>
    </w:p>
    <w:p>
      <w:pPr>
        <w:pStyle w:val="Heading1"/>
      </w:pPr>
      <w:r>
        <w:t xml:space="preserve">8. Conclusion</w:t>
      </w:r>
    </w:p>
    <w:p>
      <w:pPr>
        <w:spacing w:after="140" w:line="288"/>
        <w:jc w:val="both"/>
      </w:pPr>
      <w:r>
        <w:t xml:space="preserve">Three stochastic models were implemented, calibrated and tested on five years of AAPL daily data. Merton jump-diffusion describes the observed fat tails best, GBM remains a robust and well-calibrated baseline, and the trend-stationary OU model offers a contrasting mean-reversion view that is weakly supported by the data and too confident out of sample. The models agree on the scale of short-term risk and disagree on direction, which is the part of the forecast that is hardest to estimate and that no model predicts reliably. The main value of stochastic modelling for investors is therefore a disciplined, quantitative view of risk: how bad outcomes can get, how likely they are, and how that changes with the investment horizon.</w:t>
      </w:r>
    </w:p>
    <w:p>
      <w:pPr>
        <w:pStyle w:val="Heading1"/>
      </w:pPr>
      <w:r>
        <w:t xml:space="preserve">References</w:t>
      </w:r>
    </w:p>
    <w:p>
      <w:pPr>
        <w:spacing w:after="120" w:line="276"/>
        <w:ind w:left="720" w:hanging="720"/>
      </w:pPr>
      <w:r>
        <w:t xml:space="preserve">Aroussi, R. (2026). </w:t>
      </w:r>
      <w:r>
        <w:rPr>
          <w:i/>
          <w:iCs/>
        </w:rPr>
        <w:t xml:space="preserve">yfinance: Download market data from Yahoo! Finance's API</w:t>
      </w:r>
      <w:r>
        <w:t xml:space="preserve"> (Version 1.7.0) [Computer software]. https://github.com/ranaroussi/yfinance</w:t>
      </w:r>
    </w:p>
    <w:p>
      <w:pPr>
        <w:spacing w:after="120" w:line="276"/>
        <w:ind w:left="720" w:hanging="720"/>
      </w:pPr>
      <w:r>
        <w:t xml:space="preserve">Black, F., &amp; Scholes, M. (1973). The pricing of options and corporate liabilities. </w:t>
      </w:r>
      <w:r>
        <w:rPr>
          <w:i/>
          <w:iCs/>
        </w:rPr>
        <w:t xml:space="preserve">Journal of Political Economy, 81</w:t>
      </w:r>
      <w:r>
        <w:t xml:space="preserve">(3), 637–654. https://doi.org/10.1086/260062</w:t>
      </w:r>
    </w:p>
    <w:p>
      <w:pPr>
        <w:spacing w:after="120" w:line="276"/>
        <w:ind w:left="720" w:hanging="720"/>
      </w:pPr>
      <w:r>
        <w:t xml:space="preserve">Cont, R. (2001). Empirical properties of asset returns: Stylized facts and statistical issues. </w:t>
      </w:r>
      <w:r>
        <w:rPr>
          <w:i/>
          <w:iCs/>
        </w:rPr>
        <w:t xml:space="preserve">Quantitative Finance, 1</w:t>
      </w:r>
      <w:r>
        <w:t xml:space="preserve">(2), 223–236. https://doi.org/10.1080/713665670</w:t>
      </w:r>
    </w:p>
    <w:p>
      <w:pPr>
        <w:spacing w:after="120" w:line="276"/>
        <w:ind w:left="720" w:hanging="720"/>
      </w:pPr>
      <w:r>
        <w:t xml:space="preserve">Dickey, D. A., &amp; Fuller, W. A. (1979). Distribution of the estimators for autoregressive time series with a unit root. </w:t>
      </w:r>
      <w:r>
        <w:rPr>
          <w:i/>
          <w:iCs/>
        </w:rPr>
        <w:t xml:space="preserve">Journal of the American Statistical Association, 74</w:t>
      </w:r>
      <w:r>
        <w:t xml:space="preserve">(366a), 427–431. https://doi.org/10.1080/01621459.1979.10482531</w:t>
      </w:r>
    </w:p>
    <w:p>
      <w:pPr>
        <w:spacing w:after="120" w:line="276"/>
        <w:ind w:left="720" w:hanging="720"/>
      </w:pPr>
      <w:r>
        <w:t xml:space="preserve">Glasserman, P. (2004). </w:t>
      </w:r>
      <w:r>
        <w:rPr>
          <w:i/>
          <w:iCs/>
        </w:rPr>
        <w:t xml:space="preserve">Monte Carlo methods in financial engineering</w:t>
      </w:r>
      <w:r>
        <w:t xml:space="preserve">. Springer. https://doi.org/10.1007/978-0-387-21617-1</w:t>
      </w:r>
    </w:p>
    <w:p>
      <w:pPr>
        <w:spacing w:after="120" w:line="276"/>
        <w:ind w:left="720" w:hanging="720"/>
      </w:pPr>
      <w:r>
        <w:t xml:space="preserve">Gneiting, T., Balabdaoui, F., &amp; Raftery, A. E. (2007). Probabilistic forecasts, calibration and sharpness. </w:t>
      </w:r>
      <w:r>
        <w:rPr>
          <w:i/>
          <w:iCs/>
        </w:rPr>
        <w:t xml:space="preserve">Journal of the Royal Statistical Society: Series B, 69</w:t>
      </w:r>
      <w:r>
        <w:t xml:space="preserve">(2), 243–268. https://doi.org/10.1111/j.1467-9868.2007.00587.x</w:t>
      </w:r>
    </w:p>
    <w:p>
      <w:pPr>
        <w:spacing w:after="120" w:line="276"/>
        <w:ind w:left="720" w:hanging="720"/>
      </w:pPr>
      <w:r>
        <w:t xml:space="preserve">Harris, C. R., Millman, K. J., van der Walt, S. J., Gommers, R., Virtanen, P., Cournapeau, D., Wieser, E., Taylor, J., Berg, S., Smith, N. J., Kern, R., Picus, M., Hoyer, S., van Kerkwijk, M. H., Brett, M., Haldane, A., del Río, J. F., Wiebe, M., Peterson, P., … Oliphant, T. E. (2020). Array programming with NumPy. </w:t>
      </w:r>
      <w:r>
        <w:rPr>
          <w:i/>
          <w:iCs/>
        </w:rPr>
        <w:t xml:space="preserve">Nature, 585</w:t>
      </w:r>
      <w:r>
        <w:t xml:space="preserve">(7825), 357–362. https://doi.org/10.1038/s41586-020-2649-2</w:t>
      </w:r>
    </w:p>
    <w:p>
      <w:pPr>
        <w:spacing w:after="120" w:line="276"/>
        <w:ind w:left="720" w:hanging="720"/>
      </w:pPr>
      <w:r>
        <w:t xml:space="preserve">Hull, J. C. (2022). </w:t>
      </w:r>
      <w:r>
        <w:rPr>
          <w:i/>
          <w:iCs/>
        </w:rPr>
        <w:t xml:space="preserve">Options, futures, and other derivatives</w:t>
      </w:r>
      <w:r>
        <w:t xml:space="preserve"> (11th ed.). Pearson.</w:t>
      </w:r>
    </w:p>
    <w:p>
      <w:pPr>
        <w:spacing w:after="120" w:line="276"/>
        <w:ind w:left="720" w:hanging="720"/>
      </w:pPr>
      <w:r>
        <w:t xml:space="preserve">Hunter, J. D. (2007). Matplotlib: A 2D graphics environment. </w:t>
      </w:r>
      <w:r>
        <w:rPr>
          <w:i/>
          <w:iCs/>
        </w:rPr>
        <w:t xml:space="preserve">Computing in Science &amp; Engineering, 9</w:t>
      </w:r>
      <w:r>
        <w:t xml:space="preserve">(3), 90–95. https://doi.org/10.1109/MCSE.2007.55</w:t>
      </w:r>
    </w:p>
    <w:p>
      <w:pPr>
        <w:spacing w:after="120" w:line="276"/>
        <w:ind w:left="720" w:hanging="720"/>
      </w:pPr>
      <w:r>
        <w:t xml:space="preserve">Jonasmiles. (2026). </w:t>
      </w:r>
      <w:r>
        <w:rPr>
          <w:i/>
          <w:iCs/>
        </w:rPr>
        <w:t xml:space="preserve">AAPL-STOCK-ANALYSIS-2021-2026</w:t>
      </w:r>
      <w:r>
        <w:t xml:space="preserve"> [Data set]. GitHub. https://github.com/Jonasmiles/AAPL-STOCK-ANALYSIS-2021-2026</w:t>
      </w:r>
    </w:p>
    <w:p>
      <w:pPr>
        <w:spacing w:after="120" w:line="276"/>
        <w:ind w:left="720" w:hanging="720"/>
      </w:pPr>
      <w:r>
        <w:t xml:space="preserve">Kupiec, P. H. (1995). Techniques for verifying the accuracy of risk measurement models. </w:t>
      </w:r>
      <w:r>
        <w:rPr>
          <w:i/>
          <w:iCs/>
        </w:rPr>
        <w:t xml:space="preserve">The Journal of Derivatives, 3</w:t>
      </w:r>
      <w:r>
        <w:t xml:space="preserve">(2), 73–84. https://doi.org/10.3905/jod.1995.407942</w:t>
      </w:r>
    </w:p>
    <w:p>
      <w:pPr>
        <w:spacing w:after="120" w:line="276"/>
        <w:ind w:left="720" w:hanging="720"/>
      </w:pPr>
      <w:r>
        <w:t xml:space="preserve">Mancini, C. (2009). Non-parametric threshold estimation for models with stochastic diffusion coefficient and jumps. </w:t>
      </w:r>
      <w:r>
        <w:rPr>
          <w:i/>
          <w:iCs/>
        </w:rPr>
        <w:t xml:space="preserve">Scandinavian Journal of Statistics, 36</w:t>
      </w:r>
      <w:r>
        <w:t xml:space="preserve">(2), 270–296. https://doi.org/10.1111/j.1467-9469.2008.00622.x</w:t>
      </w:r>
    </w:p>
    <w:p>
      <w:pPr>
        <w:spacing w:after="120" w:line="276"/>
        <w:ind w:left="720" w:hanging="720"/>
      </w:pPr>
      <w:r>
        <w:t xml:space="preserve">McKinney, W. (2010). Data structures for statistical computing in Python. In S. van der Walt &amp; J. Millman (Eds.), </w:t>
      </w:r>
      <w:r>
        <w:rPr>
          <w:i/>
          <w:iCs/>
        </w:rPr>
        <w:t xml:space="preserve">Proceedings of the 9th Python in Science Conference</w:t>
      </w:r>
      <w:r>
        <w:t xml:space="preserve"> (pp. 56–61). https://doi.org/10.25080/Majora-92bf1922-00a</w:t>
      </w:r>
    </w:p>
    <w:p>
      <w:pPr>
        <w:spacing w:after="120" w:line="276"/>
        <w:ind w:left="720" w:hanging="720"/>
      </w:pPr>
      <w:r>
        <w:t xml:space="preserve">Merton, R. C. (1976). Option pricing when underlying stock returns are discontinuous. </w:t>
      </w:r>
      <w:r>
        <w:rPr>
          <w:i/>
          <w:iCs/>
        </w:rPr>
        <w:t xml:space="preserve">Journal of Financial Economics, 3</w:t>
      </w:r>
      <w:r>
        <w:t xml:space="preserve">(1–2), 125–144. https://doi.org/10.1016/0304-405X(76)90022-2</w:t>
      </w:r>
    </w:p>
    <w:p>
      <w:pPr>
        <w:spacing w:after="120" w:line="276"/>
        <w:ind w:left="720" w:hanging="720"/>
      </w:pPr>
      <w:r>
        <w:t xml:space="preserve">Poterba, J. M., &amp; Summers, L. H. (1988). Mean reversion in stock prices: Evidence and implications. </w:t>
      </w:r>
      <w:r>
        <w:rPr>
          <w:i/>
          <w:iCs/>
        </w:rPr>
        <w:t xml:space="preserve">Journal of Financial Economics, 22</w:t>
      </w:r>
      <w:r>
        <w:t xml:space="preserve">(1), 27–59. https://doi.org/10.1016/0304-405X(88)90021-9</w:t>
      </w:r>
    </w:p>
    <w:p>
      <w:pPr>
        <w:spacing w:after="120" w:line="276"/>
        <w:ind w:left="720" w:hanging="720"/>
      </w:pPr>
      <w:r>
        <w:t xml:space="preserve">Seabold, S., &amp; Perktold, J. (2010). Statsmodels: Econometric and statistical modeling with Python. In S. van der Walt &amp; J. Millman (Eds.), </w:t>
      </w:r>
      <w:r>
        <w:rPr>
          <w:i/>
          <w:iCs/>
        </w:rPr>
        <w:t xml:space="preserve">Proceedings of the 9th Python in Science Conference</w:t>
      </w:r>
      <w:r>
        <w:t xml:space="preserve"> (pp. 92–96). https://doi.org/10.25080/Majora-92bf1922-011</w:t>
      </w:r>
    </w:p>
    <w:p>
      <w:pPr>
        <w:spacing w:after="120" w:line="276"/>
        <w:ind w:left="720" w:hanging="720"/>
      </w:pPr>
      <w:r>
        <w:t xml:space="preserve">Uhlenbeck, G. E., &amp; Ornstein, L. S. (1930). On the theory of the Brownian motion. </w:t>
      </w:r>
      <w:r>
        <w:rPr>
          <w:i/>
          <w:iCs/>
        </w:rPr>
        <w:t xml:space="preserve">Physical Review, 36</w:t>
      </w:r>
      <w:r>
        <w:t xml:space="preserve">(5), 823–841. https://doi.org/10.1103/PhysRev.36.823</w:t>
      </w:r>
    </w:p>
    <w:p>
      <w:pPr>
        <w:spacing w:after="120" w:line="276"/>
        <w:ind w:left="720" w:hanging="720"/>
      </w:pPr>
      <w:r>
        <w:t xml:space="preserve">Vasicek, O. (1977). An equilibrium characterization of the term structure. </w:t>
      </w:r>
      <w:r>
        <w:rPr>
          <w:i/>
          <w:iCs/>
        </w:rPr>
        <w:t xml:space="preserve">Journal of Financial Economics, 5</w:t>
      </w:r>
      <w:r>
        <w:t xml:space="preserve">(2), 177–188. https://doi.org/10.1016/0304-405X(77)90016-2</w:t>
      </w:r>
    </w:p>
    <w:p>
      <w:pPr>
        <w:spacing w:after="120" w:line="276"/>
        <w:ind w:left="720" w:hanging="720"/>
      </w:pPr>
      <w:r>
        <w:t xml:space="preserve">Virtanen, P., Gommers, R., Oliphant, T. E., Haberland, M., Reddy, T., Cournapeau, D., Burovski, E., Peterson, P., Weckesser, W., Bright, J., van der Walt, S. J., Brett, M., Wilson, J., Millman, K. J., Mayorov, N., Nelson, A. R. J., Jones, E., Kern, R., Larson, E., … SciPy 1.0 Contributors. (2020). SciPy 1.0: Fundamental algorithms for scientific computing in Python. </w:t>
      </w:r>
      <w:r>
        <w:rPr>
          <w:i/>
          <w:iCs/>
        </w:rPr>
        <w:t xml:space="preserve">Nature Methods, 17</w:t>
      </w:r>
      <w:r>
        <w:t xml:space="preserve">(3), 261–272. https://doi.org/10.1038/s41592-019-0686-2</w:t>
      </w:r>
    </w:p>
    <w:p>
      <w:pPr>
        <w:pStyle w:val="Heading1"/>
      </w:pPr>
      <w:r>
        <w:t xml:space="preserve">Appendix: Reproducing the Results</w:t>
      </w:r>
    </w:p>
    <w:p>
      <w:pPr>
        <w:spacing w:after="140" w:line="288"/>
        <w:jc w:val="both"/>
      </w:pPr>
      <w:r>
        <w:t xml:space="preserve">Install the dependencies with </w:t>
      </w:r>
      <w:r>
        <w:rPr>
          <w:i/>
          <w:iCs/>
        </w:rPr>
        <w:t xml:space="preserve">pip install -r requirements.txt</w:t>
      </w:r>
      <w:r>
        <w:t xml:space="preserve"> (NumPy, SciPy, pandas, matplotlib, statsmodels; yfinance is optional). Then either open </w:t>
      </w:r>
      <w:r>
        <w:rPr>
          <w:i/>
          <w:iCs/>
        </w:rPr>
        <w:t xml:space="preserve">Stochastic_Stock_Models.ipynb</w:t>
      </w:r>
      <w:r>
        <w:t xml:space="preserve"> and run all cells, or run </w:t>
      </w:r>
      <w:r>
        <w:rPr>
          <w:i/>
          <w:iCs/>
        </w:rPr>
        <w:t xml:space="preserve">python stock_models.py</w:t>
      </w:r>
      <w:r>
        <w:t xml:space="preserve"> from a terminal. The pipeline writes the figures to </w:t>
      </w:r>
      <w:r>
        <w:rPr>
          <w:i/>
          <w:iCs/>
        </w:rPr>
        <w:t xml:space="preserve">figures/</w:t>
      </w:r>
      <w:r>
        <w:t xml:space="preserve">, the cleaned data to </w:t>
      </w:r>
      <w:r>
        <w:rPr>
          <w:i/>
          <w:iCs/>
        </w:rPr>
        <w:t xml:space="preserve">data/AAPL_clean.csv</w:t>
      </w:r>
      <w:r>
        <w:t xml:space="preserve">, and every parameter and risk metric to </w:t>
      </w:r>
      <w:r>
        <w:rPr>
          <w:i/>
          <w:iCs/>
        </w:rPr>
        <w:t xml:space="preserve">results_AAPL.json</w:t>
      </w:r>
      <w:r>
        <w:t xml:space="preserve">. The command </w:t>
      </w:r>
      <w:r>
        <w:rPr>
          <w:i/>
          <w:iCs/>
        </w:rPr>
        <w:t xml:space="preserve">python stock_models.py --source yfinance --tickers AAPL MSFT KO</w:t>
      </w:r>
      <w:r>
        <w:t xml:space="preserve"> downloads fresh data and repeats the full analysis for several stocks. Random seeds are fixed (seed = 42), so all results are reproducible exactly.</w:t>
      </w:r>
    </w:p>
    <w:sectPr>
      <w:footerReference w:type="default" r:id="rId7"/>
      <w:pgSz w:w="12240" w:h="15840"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1F1F"/>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Calibri" w:cs="Calibri" w:eastAsia="Calibri" w:hAnsi="Calibri"/>
      <w:b/>
      <w:bCs/>
      <w:color w:val="1F4E79"/>
      <w:sz w:val="30"/>
      <w:szCs w:val="30"/>
    </w:rPr>
  </w:style>
  <w:style w:type="paragraph" w:styleId="Heading2">
    <w:name w:val="Heading 2"/>
    <w:basedOn w:val="Normal"/>
    <w:next w:val="Normal"/>
    <w:qFormat/>
    <w:pPr>
      <w:keepNext/>
      <w:spacing w:after="120" w:before="240"/>
      <w:outlineLvl w:val="1"/>
    </w:pPr>
    <w:rPr>
      <w:rFonts w:ascii="Calibri" w:cs="Calibri" w:eastAsia="Calibri" w:hAnsi="Calibri"/>
      <w:b/>
      <w:bCs/>
      <w:color w:val="1F4E79"/>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0094cbdadba7fc0361bfca9a769f83af6ac4a612.png"/><Relationship Id="rId9" Type="http://schemas.openxmlformats.org/officeDocument/2006/relationships/image" Target="media/d53e1a7e2e599ce722a6e2cae3d4cb8dff2bbc42.png"/><Relationship Id="rId10" Type="http://schemas.openxmlformats.org/officeDocument/2006/relationships/image" Target="media/ba46f42ae1b6856f43142151f3f9ec2e26ec755a.png"/><Relationship Id="rId11" Type="http://schemas.openxmlformats.org/officeDocument/2006/relationships/image" Target="media/e1af926d2a6f1e3ce4baea9938e0ff517d739ed3.png"/><Relationship Id="rId12" Type="http://schemas.openxmlformats.org/officeDocument/2006/relationships/image" Target="media/8407ae53d707c214d35f51bee83e00ab36177422.png"/><Relationship Id="rId13" Type="http://schemas.openxmlformats.org/officeDocument/2006/relationships/image" Target="media/3f43e7d7d33c223f81f4b586132472361e466ed0.png"/><Relationship Id="rId14" Type="http://schemas.openxmlformats.org/officeDocument/2006/relationships/image" Target="media/de7c0e8db601d176219d89b5aaf94bae8d298f6c.png"/><Relationship Id="rId15" Type="http://schemas.openxmlformats.org/officeDocument/2006/relationships/image" Target="media/ee8636595780e0b030f30962fe79796ce97783ca.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Modelling Stock Price Movements with Stochastic Processes</dc:title>
  <dc:creator>Quantitative Research Team</dc:creator>
  <cp:lastModifiedBy>Un-named</cp:lastModifiedBy>
  <cp:revision>1</cp:revision>
  <dcterms:created xsi:type="dcterms:W3CDTF">2026-10-25T18:59:35.454Z</dcterms:created>
  <dcterms:modified xsi:type="dcterms:W3CDTF">2026-10-25T18:59:35.454Z</dcterms:modified>
</cp:coreProperties>
</file>

<file path=docProps/custom.xml><?xml version="1.0" encoding="utf-8"?>
<Properties xmlns="http://schemas.openxmlformats.org/officeDocument/2006/custom-properties" xmlns:vt="http://schemas.openxmlformats.org/officeDocument/2006/docPropsVTypes"/>
</file>