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Building and Evaluating Machine Learning Models in Python</w:t>
      </w:r>
    </w:p>
    <w:p>
      <w:pPr>
        <w:spacing w:after="60"/>
        <w:jc w:val="center"/>
      </w:pPr>
      <w:r>
        <w:rPr>
          <w:i/>
          <w:iCs/>
          <w:color w:val="444444"/>
          <w:sz w:val="22"/>
          <w:szCs w:val="22"/>
        </w:rPr>
        <w:t xml:space="preserve">Classification with Logistic Regression and Random Forest on the Breast Cancer Wisconsin Dataset</w:t>
      </w:r>
    </w:p>
    <w:p>
      <w:pPr>
        <w:pBdr>
          <w:bottom w:val="single" w:color="AAAAAA" w:sz="6" w:space="8"/>
        </w:pBdr>
        <w:spacing w:after="300"/>
        <w:jc w:val="center"/>
      </w:pPr>
      <w:r>
        <w:rPr>
          <w:color w:val="666666"/>
          <w:sz w:val="20"/>
          <w:szCs w:val="20"/>
        </w:rPr>
        <w:t xml:space="preserve">Fred Kabore</w:t>
      </w:r>
    </w:p>
    <w:p>
      <w:pPr>
        <w:pStyle w:val="Heading1"/>
        <w:spacing w:after="150" w:before="300"/>
      </w:pPr>
      <w:r>
        <w:t xml:space="preserve">Introduction</w:t>
      </w:r>
    </w:p>
    <w:p>
      <w:pPr>
        <w:spacing w:after="200"/>
        <w:jc w:val="both"/>
      </w:pPr>
      <w:r>
        <w:rPr>
          <w:sz w:val="22"/>
          <w:szCs w:val="22"/>
        </w:rPr>
        <w:t xml:space="preserve">Machine learning models are increasingly used to support high-stakes decisions, including medical diagnosis. This project builds and evaluates two classification models — Logistic Regression and Random Forest — on the Breast Cancer Wisconsin (Diagnostic) dataset, a real-world dataset of 569 tumor samples described by 30 numeric features derived from digitized fine needle aspirate (FNA) images, each labeled malignant or benign. The goal is to preprocess the data appropriately, train both models with cross-validation and hyperparameter tuning, compare their performance using standard classification metrics, and reflect on the ethical considerations of deploying such a model in a clinical decision-support setting.</w:t>
      </w:r>
    </w:p>
    <w:p>
      <w:pPr>
        <w:pStyle w:val="Heading1"/>
        <w:spacing w:after="150" w:before="300"/>
      </w:pPr>
      <w:r>
        <w:t xml:space="preserve">Modeling Approach</w:t>
      </w:r>
    </w:p>
    <w:p>
      <w:pPr>
        <w:spacing w:after="200"/>
        <w:jc w:val="both"/>
      </w:pPr>
      <w:r>
        <w:rPr>
          <w:sz w:val="22"/>
          <w:szCs w:val="22"/>
        </w:rPr>
        <w:t xml:space="preserve">The dataset used is scikit-learn's built-in Breast Cancer Wisconsin (Diagnostic) dataset, which contains 569 samples and 30 numeric features (e.g., mean radius, mean texture, worst concave points) with no missing values, so no imputation was required. The target classes are moderately imbalanced (~63% benign, ~37% malignant), so the data was split into training (75%) and test (25%) sets using train_test_split with stratify=y to preserve this ratio in both partitions and random_state=42 for reproducibility. Because Logistic Regression is sensitive to feature scale, all features were standardized with StandardScaler, fit only on the training set to avoid data leakage; Random Forest was trained on the unscaled features since tree-based models are invariant to monotonic feature transformations.</w:t>
      </w:r>
    </w:p>
    <w:p>
      <w:pPr>
        <w:spacing w:after="200"/>
        <w:jc w:val="both"/>
      </w:pPr>
      <w:r>
        <w:rPr>
          <w:sz w:val="22"/>
          <w:szCs w:val="22"/>
        </w:rPr>
        <w:t xml:space="preserve">Before building either candidate model, a DummyClassifier baseline (predicting the majority class) was trained to establish a performance floor that any useful model must clearly exceed.</w:t>
      </w:r>
    </w:p>
    <w:p>
      <w:pPr>
        <w:spacing w:after="200"/>
        <w:jc w:val="both"/>
      </w:pPr>
      <w:r>
        <w:rPr>
          <w:sz w:val="22"/>
          <w:szCs w:val="22"/>
        </w:rPr>
        <w:t xml:space="preserve">Two candidate models were then trained. Logistic Regression was tuned over its inverse regularization strength C ∈ {0.01, 0.1, 1, 10, 100} using GridSearchCV with 5-fold stratified cross-validation, optimizing for F1 score to account for class imbalance. Random Forest was tuned over n_estimators ∈ {50, 100, 200} and max_depth ∈ {None, 5, 10} using the same cross-validation scheme and scoring metric. For both models, 5-fold cross-validation on the training set provided a robust estimate of generalization performance and reduced the risk of overfitting to a single train/test split. The best estimator from each grid search — selected by mean cross-validated F1 — was then evaluated once on the held-out test set, which neither model saw during training or tuning, to obtain an unbiased estimate of real-world performance.</w:t>
      </w:r>
    </w:p>
    <w:p>
      <w:pPr>
        <w:pStyle w:val="Heading1"/>
        <w:spacing w:after="150" w:before="300"/>
      </w:pPr>
      <w:r>
        <w:t xml:space="preserve">Results &amp; Comparison</w:t>
      </w:r>
    </w:p>
    <w:p>
      <w:pPr>
        <w:spacing w:after="200"/>
        <w:jc w:val="both"/>
      </w:pPr>
      <w:r>
        <w:rPr>
          <w:sz w:val="22"/>
          <w:szCs w:val="22"/>
        </w:rPr>
        <w:t xml:space="preserve">On the held-out test set, both tuned models substantially outperformed the DummyClassifier baseline, which achieved 62.9% accuracy simply by always predicting the majority (benign) class, with 0% recall on the malignant class. Logistic Regression (best C = 1) achieved the strongest overall test performance: 98.6% accuracy, 98.9% precision, 98.9% recall, an F1 score of 0.989, and a ROC-AUC of 0.998. Its 5-fold cross-validated accuracy on the training set was 97.9% (± 0.9%), confirming this performance was stable rather than a lucky split. Random Forest (200 trees, unlimited depth) also performed strongly — 95.8% accuracy, 95.7% precision, 97.8% recall, an F1 score of 0.967, and a ROC-AUC of 0.995 — with cross-validated training accuracy of 96.5% (± 2.0%), though with slightly higher variance across folds than Logistic Regression.</w:t>
      </w:r>
    </w:p>
    <w:p>
      <w:pPr>
        <w:spacing w:after="200"/>
      </w:pP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2600"/>
        <w:gridCol w:w="1550"/>
        <w:gridCol w:w="1550"/>
        <w:gridCol w:w="1550"/>
        <w:gridCol w:w="1550"/>
        <w:gridCol w:w="1550"/>
      </w:tblGrid>
      <w:tr>
        <w:trPr>
          <w:tblHeader/>
        </w:trPr>
        <w:tc>
          <w:tcPr>
            <w:tcW w:type="dxa" w:w="2600"/>
            <w:shd w:fill="2F5496" w:val="clear"/>
            <w:tcMar>
              <w:top w:type="dxa" w:w="80"/>
              <w:left w:type="dxa" w:w="100"/>
              <w:bottom w:type="dxa" w:w="80"/>
              <w:right w:type="dxa" w:w="100"/>
            </w:tcMar>
          </w:tcPr>
          <w:p>
            <w:r>
              <w:rPr>
                <w:b/>
                <w:bCs/>
                <w:color w:val="FFFFFF"/>
                <w:sz w:val="20"/>
                <w:szCs w:val="20"/>
              </w:rPr>
              <w:t xml:space="preserve">Model</w:t>
            </w:r>
          </w:p>
        </w:tc>
        <w:tc>
          <w:tcPr>
            <w:tcW w:type="dxa" w:w="1550"/>
            <w:shd w:fill="2F5496" w:val="clear"/>
            <w:tcMar>
              <w:top w:type="dxa" w:w="80"/>
              <w:left w:type="dxa" w:w="100"/>
              <w:bottom w:type="dxa" w:w="80"/>
              <w:right w:type="dxa" w:w="100"/>
            </w:tcMar>
          </w:tcPr>
          <w:p>
            <w:r>
              <w:rPr>
                <w:b/>
                <w:bCs/>
                <w:color w:val="FFFFFF"/>
                <w:sz w:val="20"/>
                <w:szCs w:val="20"/>
              </w:rPr>
              <w:t xml:space="preserve">Accuracy</w:t>
            </w:r>
          </w:p>
        </w:tc>
        <w:tc>
          <w:tcPr>
            <w:tcW w:type="dxa" w:w="1550"/>
            <w:shd w:fill="2F5496" w:val="clear"/>
            <w:tcMar>
              <w:top w:type="dxa" w:w="80"/>
              <w:left w:type="dxa" w:w="100"/>
              <w:bottom w:type="dxa" w:w="80"/>
              <w:right w:type="dxa" w:w="100"/>
            </w:tcMar>
          </w:tcPr>
          <w:p>
            <w:r>
              <w:rPr>
                <w:b/>
                <w:bCs/>
                <w:color w:val="FFFFFF"/>
                <w:sz w:val="20"/>
                <w:szCs w:val="20"/>
              </w:rPr>
              <w:t xml:space="preserve">Precision</w:t>
            </w:r>
          </w:p>
        </w:tc>
        <w:tc>
          <w:tcPr>
            <w:tcW w:type="dxa" w:w="1550"/>
            <w:shd w:fill="2F5496" w:val="clear"/>
            <w:tcMar>
              <w:top w:type="dxa" w:w="80"/>
              <w:left w:type="dxa" w:w="100"/>
              <w:bottom w:type="dxa" w:w="80"/>
              <w:right w:type="dxa" w:w="100"/>
            </w:tcMar>
          </w:tcPr>
          <w:p>
            <w:r>
              <w:rPr>
                <w:b/>
                <w:bCs/>
                <w:color w:val="FFFFFF"/>
                <w:sz w:val="20"/>
                <w:szCs w:val="20"/>
              </w:rPr>
              <w:t xml:space="preserve">Recall</w:t>
            </w:r>
          </w:p>
        </w:tc>
        <w:tc>
          <w:tcPr>
            <w:tcW w:type="dxa" w:w="1550"/>
            <w:shd w:fill="2F5496" w:val="clear"/>
            <w:tcMar>
              <w:top w:type="dxa" w:w="80"/>
              <w:left w:type="dxa" w:w="100"/>
              <w:bottom w:type="dxa" w:w="80"/>
              <w:right w:type="dxa" w:w="100"/>
            </w:tcMar>
          </w:tcPr>
          <w:p>
            <w:r>
              <w:rPr>
                <w:b/>
                <w:bCs/>
                <w:color w:val="FFFFFF"/>
                <w:sz w:val="20"/>
                <w:szCs w:val="20"/>
              </w:rPr>
              <w:t xml:space="preserve">F1</w:t>
            </w:r>
          </w:p>
        </w:tc>
        <w:tc>
          <w:tcPr>
            <w:tcW w:type="dxa" w:w="1550"/>
            <w:shd w:fill="2F5496" w:val="clear"/>
            <w:tcMar>
              <w:top w:type="dxa" w:w="80"/>
              <w:left w:type="dxa" w:w="100"/>
              <w:bottom w:type="dxa" w:w="80"/>
              <w:right w:type="dxa" w:w="100"/>
            </w:tcMar>
          </w:tcPr>
          <w:p>
            <w:r>
              <w:rPr>
                <w:b/>
                <w:bCs/>
                <w:color w:val="FFFFFF"/>
                <w:sz w:val="20"/>
                <w:szCs w:val="20"/>
              </w:rPr>
              <w:t xml:space="preserve">ROC-AUC</w:t>
            </w:r>
          </w:p>
        </w:tc>
      </w:tr>
      <w:tr>
        <w:tc>
          <w:tcPr>
            <w:tcW w:type="dxa" w:w="2600"/>
            <w:tcMar>
              <w:top w:type="dxa" w:w="80"/>
              <w:left w:type="dxa" w:w="100"/>
              <w:bottom w:type="dxa" w:w="80"/>
              <w:right w:type="dxa" w:w="100"/>
            </w:tcMar>
          </w:tcPr>
          <w:p>
            <w:r>
              <w:rPr>
                <w:b w:val="false"/>
                <w:bCs w:val="false"/>
                <w:color w:val="000000"/>
                <w:sz w:val="20"/>
                <w:szCs w:val="20"/>
              </w:rPr>
              <w:t xml:space="preserve">Baseline (Dummy)</w:t>
            </w:r>
          </w:p>
        </w:tc>
        <w:tc>
          <w:tcPr>
            <w:tcW w:type="dxa" w:w="1550"/>
            <w:tcMar>
              <w:top w:type="dxa" w:w="80"/>
              <w:left w:type="dxa" w:w="100"/>
              <w:bottom w:type="dxa" w:w="80"/>
              <w:right w:type="dxa" w:w="100"/>
            </w:tcMar>
          </w:tcPr>
          <w:p>
            <w:r>
              <w:rPr>
                <w:b w:val="false"/>
                <w:bCs w:val="false"/>
                <w:color w:val="000000"/>
                <w:sz w:val="20"/>
                <w:szCs w:val="20"/>
              </w:rPr>
              <w:t xml:space="preserve">0.629</w:t>
            </w:r>
          </w:p>
        </w:tc>
        <w:tc>
          <w:tcPr>
            <w:tcW w:type="dxa" w:w="1550"/>
            <w:tcMar>
              <w:top w:type="dxa" w:w="80"/>
              <w:left w:type="dxa" w:w="100"/>
              <w:bottom w:type="dxa" w:w="80"/>
              <w:right w:type="dxa" w:w="100"/>
            </w:tcMar>
          </w:tcPr>
          <w:p>
            <w:r>
              <w:rPr>
                <w:b w:val="false"/>
                <w:bCs w:val="false"/>
                <w:color w:val="000000"/>
                <w:sz w:val="20"/>
                <w:szCs w:val="20"/>
              </w:rPr>
              <w:t xml:space="preserve">0.629</w:t>
            </w:r>
          </w:p>
        </w:tc>
        <w:tc>
          <w:tcPr>
            <w:tcW w:type="dxa" w:w="1550"/>
            <w:tcMar>
              <w:top w:type="dxa" w:w="80"/>
              <w:left w:type="dxa" w:w="100"/>
              <w:bottom w:type="dxa" w:w="80"/>
              <w:right w:type="dxa" w:w="100"/>
            </w:tcMar>
          </w:tcPr>
          <w:p>
            <w:r>
              <w:rPr>
                <w:b w:val="false"/>
                <w:bCs w:val="false"/>
                <w:color w:val="000000"/>
                <w:sz w:val="20"/>
                <w:szCs w:val="20"/>
              </w:rPr>
              <w:t xml:space="preserve">1.000</w:t>
            </w:r>
          </w:p>
        </w:tc>
        <w:tc>
          <w:tcPr>
            <w:tcW w:type="dxa" w:w="1550"/>
            <w:tcMar>
              <w:top w:type="dxa" w:w="80"/>
              <w:left w:type="dxa" w:w="100"/>
              <w:bottom w:type="dxa" w:w="80"/>
              <w:right w:type="dxa" w:w="100"/>
            </w:tcMar>
          </w:tcPr>
          <w:p>
            <w:r>
              <w:rPr>
                <w:b w:val="false"/>
                <w:bCs w:val="false"/>
                <w:color w:val="000000"/>
                <w:sz w:val="20"/>
                <w:szCs w:val="20"/>
              </w:rPr>
              <w:t xml:space="preserve">0.773</w:t>
            </w:r>
          </w:p>
        </w:tc>
        <w:tc>
          <w:tcPr>
            <w:tcW w:type="dxa" w:w="1550"/>
            <w:tcMar>
              <w:top w:type="dxa" w:w="80"/>
              <w:left w:type="dxa" w:w="100"/>
              <w:bottom w:type="dxa" w:w="80"/>
              <w:right w:type="dxa" w:w="100"/>
            </w:tcMar>
          </w:tcPr>
          <w:p>
            <w:r>
              <w:rPr>
                <w:b w:val="false"/>
                <w:bCs w:val="false"/>
                <w:color w:val="000000"/>
                <w:sz w:val="20"/>
                <w:szCs w:val="20"/>
              </w:rPr>
              <w:t xml:space="preserve">0.500</w:t>
            </w:r>
          </w:p>
        </w:tc>
      </w:tr>
      <w:tr>
        <w:tc>
          <w:tcPr>
            <w:tcW w:type="dxa" w:w="2600"/>
            <w:tcMar>
              <w:top w:type="dxa" w:w="80"/>
              <w:left w:type="dxa" w:w="100"/>
              <w:bottom w:type="dxa" w:w="80"/>
              <w:right w:type="dxa" w:w="100"/>
            </w:tcMar>
          </w:tcPr>
          <w:p>
            <w:r>
              <w:rPr>
                <w:b w:val="false"/>
                <w:bCs w:val="false"/>
                <w:color w:val="000000"/>
                <w:sz w:val="20"/>
                <w:szCs w:val="20"/>
              </w:rPr>
              <w:t xml:space="preserve">Logistic Regression</w:t>
            </w:r>
          </w:p>
        </w:tc>
        <w:tc>
          <w:tcPr>
            <w:tcW w:type="dxa" w:w="1550"/>
            <w:tcMar>
              <w:top w:type="dxa" w:w="80"/>
              <w:left w:type="dxa" w:w="100"/>
              <w:bottom w:type="dxa" w:w="80"/>
              <w:right w:type="dxa" w:w="100"/>
            </w:tcMar>
          </w:tcPr>
          <w:p>
            <w:r>
              <w:rPr>
                <w:b w:val="false"/>
                <w:bCs w:val="false"/>
                <w:color w:val="000000"/>
                <w:sz w:val="20"/>
                <w:szCs w:val="20"/>
              </w:rPr>
              <w:t xml:space="preserve">0.986</w:t>
            </w:r>
          </w:p>
        </w:tc>
        <w:tc>
          <w:tcPr>
            <w:tcW w:type="dxa" w:w="1550"/>
            <w:tcMar>
              <w:top w:type="dxa" w:w="80"/>
              <w:left w:type="dxa" w:w="100"/>
              <w:bottom w:type="dxa" w:w="80"/>
              <w:right w:type="dxa" w:w="100"/>
            </w:tcMar>
          </w:tcPr>
          <w:p>
            <w:r>
              <w:rPr>
                <w:b w:val="false"/>
                <w:bCs w:val="false"/>
                <w:color w:val="000000"/>
                <w:sz w:val="20"/>
                <w:szCs w:val="20"/>
              </w:rPr>
              <w:t xml:space="preserve">0.989</w:t>
            </w:r>
          </w:p>
        </w:tc>
        <w:tc>
          <w:tcPr>
            <w:tcW w:type="dxa" w:w="1550"/>
            <w:tcMar>
              <w:top w:type="dxa" w:w="80"/>
              <w:left w:type="dxa" w:w="100"/>
              <w:bottom w:type="dxa" w:w="80"/>
              <w:right w:type="dxa" w:w="100"/>
            </w:tcMar>
          </w:tcPr>
          <w:p>
            <w:r>
              <w:rPr>
                <w:b w:val="false"/>
                <w:bCs w:val="false"/>
                <w:color w:val="000000"/>
                <w:sz w:val="20"/>
                <w:szCs w:val="20"/>
              </w:rPr>
              <w:t xml:space="preserve">0.989</w:t>
            </w:r>
          </w:p>
        </w:tc>
        <w:tc>
          <w:tcPr>
            <w:tcW w:type="dxa" w:w="1550"/>
            <w:tcMar>
              <w:top w:type="dxa" w:w="80"/>
              <w:left w:type="dxa" w:w="100"/>
              <w:bottom w:type="dxa" w:w="80"/>
              <w:right w:type="dxa" w:w="100"/>
            </w:tcMar>
          </w:tcPr>
          <w:p>
            <w:r>
              <w:rPr>
                <w:b w:val="false"/>
                <w:bCs w:val="false"/>
                <w:color w:val="000000"/>
                <w:sz w:val="20"/>
                <w:szCs w:val="20"/>
              </w:rPr>
              <w:t xml:space="preserve">0.989</w:t>
            </w:r>
          </w:p>
        </w:tc>
        <w:tc>
          <w:tcPr>
            <w:tcW w:type="dxa" w:w="1550"/>
            <w:tcMar>
              <w:top w:type="dxa" w:w="80"/>
              <w:left w:type="dxa" w:w="100"/>
              <w:bottom w:type="dxa" w:w="80"/>
              <w:right w:type="dxa" w:w="100"/>
            </w:tcMar>
          </w:tcPr>
          <w:p>
            <w:r>
              <w:rPr>
                <w:b w:val="false"/>
                <w:bCs w:val="false"/>
                <w:color w:val="000000"/>
                <w:sz w:val="20"/>
                <w:szCs w:val="20"/>
              </w:rPr>
              <w:t xml:space="preserve">0.998</w:t>
            </w:r>
          </w:p>
        </w:tc>
      </w:tr>
      <w:tr>
        <w:tc>
          <w:tcPr>
            <w:tcW w:type="dxa" w:w="2600"/>
            <w:tcMar>
              <w:top w:type="dxa" w:w="80"/>
              <w:left w:type="dxa" w:w="100"/>
              <w:bottom w:type="dxa" w:w="80"/>
              <w:right w:type="dxa" w:w="100"/>
            </w:tcMar>
          </w:tcPr>
          <w:p>
            <w:r>
              <w:rPr>
                <w:b w:val="false"/>
                <w:bCs w:val="false"/>
                <w:color w:val="000000"/>
                <w:sz w:val="20"/>
                <w:szCs w:val="20"/>
              </w:rPr>
              <w:t xml:space="preserve">Random Forest</w:t>
            </w:r>
          </w:p>
        </w:tc>
        <w:tc>
          <w:tcPr>
            <w:tcW w:type="dxa" w:w="1550"/>
            <w:tcMar>
              <w:top w:type="dxa" w:w="80"/>
              <w:left w:type="dxa" w:w="100"/>
              <w:bottom w:type="dxa" w:w="80"/>
              <w:right w:type="dxa" w:w="100"/>
            </w:tcMar>
          </w:tcPr>
          <w:p>
            <w:r>
              <w:rPr>
                <w:b w:val="false"/>
                <w:bCs w:val="false"/>
                <w:color w:val="000000"/>
                <w:sz w:val="20"/>
                <w:szCs w:val="20"/>
              </w:rPr>
              <w:t xml:space="preserve">0.958</w:t>
            </w:r>
          </w:p>
        </w:tc>
        <w:tc>
          <w:tcPr>
            <w:tcW w:type="dxa" w:w="1550"/>
            <w:tcMar>
              <w:top w:type="dxa" w:w="80"/>
              <w:left w:type="dxa" w:w="100"/>
              <w:bottom w:type="dxa" w:w="80"/>
              <w:right w:type="dxa" w:w="100"/>
            </w:tcMar>
          </w:tcPr>
          <w:p>
            <w:r>
              <w:rPr>
                <w:b w:val="false"/>
                <w:bCs w:val="false"/>
                <w:color w:val="000000"/>
                <w:sz w:val="20"/>
                <w:szCs w:val="20"/>
              </w:rPr>
              <w:t xml:space="preserve">0.957</w:t>
            </w:r>
          </w:p>
        </w:tc>
        <w:tc>
          <w:tcPr>
            <w:tcW w:type="dxa" w:w="1550"/>
            <w:tcMar>
              <w:top w:type="dxa" w:w="80"/>
              <w:left w:type="dxa" w:w="100"/>
              <w:bottom w:type="dxa" w:w="80"/>
              <w:right w:type="dxa" w:w="100"/>
            </w:tcMar>
          </w:tcPr>
          <w:p>
            <w:r>
              <w:rPr>
                <w:b w:val="false"/>
                <w:bCs w:val="false"/>
                <w:color w:val="000000"/>
                <w:sz w:val="20"/>
                <w:szCs w:val="20"/>
              </w:rPr>
              <w:t xml:space="preserve">0.978</w:t>
            </w:r>
          </w:p>
        </w:tc>
        <w:tc>
          <w:tcPr>
            <w:tcW w:type="dxa" w:w="1550"/>
            <w:tcMar>
              <w:top w:type="dxa" w:w="80"/>
              <w:left w:type="dxa" w:w="100"/>
              <w:bottom w:type="dxa" w:w="80"/>
              <w:right w:type="dxa" w:w="100"/>
            </w:tcMar>
          </w:tcPr>
          <w:p>
            <w:r>
              <w:rPr>
                <w:b w:val="false"/>
                <w:bCs w:val="false"/>
                <w:color w:val="000000"/>
                <w:sz w:val="20"/>
                <w:szCs w:val="20"/>
              </w:rPr>
              <w:t xml:space="preserve">0.967</w:t>
            </w:r>
          </w:p>
        </w:tc>
        <w:tc>
          <w:tcPr>
            <w:tcW w:type="dxa" w:w="1550"/>
            <w:tcMar>
              <w:top w:type="dxa" w:w="80"/>
              <w:left w:type="dxa" w:w="100"/>
              <w:bottom w:type="dxa" w:w="80"/>
              <w:right w:type="dxa" w:w="100"/>
            </w:tcMar>
          </w:tcPr>
          <w:p>
            <w:r>
              <w:rPr>
                <w:b w:val="false"/>
                <w:bCs w:val="false"/>
                <w:color w:val="000000"/>
                <w:sz w:val="20"/>
                <w:szCs w:val="20"/>
              </w:rPr>
              <w:t xml:space="preserve">0.995</w:t>
            </w:r>
          </w:p>
        </w:tc>
      </w:tr>
    </w:tbl>
    <w:p>
      <w:pPr>
        <w:spacing w:after="200"/>
      </w:pPr>
    </w:p>
    <w:p>
      <w:pPr>
        <w:spacing w:after="200"/>
        <w:jc w:val="both"/>
      </w:pPr>
      <w:r>
        <w:rPr>
          <w:sz w:val="22"/>
          <w:szCs w:val="22"/>
        </w:rPr>
        <w:t xml:space="preserve">Both models' ROC curves hugged the top-left corner, indicating strong separability between malignant and benign cases across nearly any decision threshold. In this comparison, Logistic Regression edged out Random Forest on every test metric while also being simpler and more interpretable; Random Forest's main advantage was its built-in feature importance ranking, which highlighted worst radius, worst perimeter, and worst concave points as the most influential features — consistent with clinical intuition about tumor size and irregularity.</w:t>
      </w:r>
    </w:p>
    <w:p>
      <w:pPr>
        <w:pStyle w:val="Heading1"/>
        <w:spacing w:after="150" w:before="300"/>
      </w:pPr>
      <w:r>
        <w:t xml:space="preserve">Ethical Reflection</w:t>
      </w:r>
    </w:p>
    <w:p>
      <w:pPr>
        <w:spacing w:after="200"/>
        <w:jc w:val="both"/>
      </w:pPr>
      <w:r>
        <w:rPr>
          <w:sz w:val="22"/>
          <w:szCs w:val="22"/>
        </w:rPr>
        <w:t xml:space="preserve">Deploying a diagnostic-support model like this carries real ethical weight. Error asymmetry matters more than aggregate accuracy: a false negative here means a malignant tumor is classified as benign, potentially delaying treatment, while a false positive leads to an unnecessary but recoverable follow-up procedure — model selection and thresholds should prioritize recall on the malignant class accordingly. This dataset may not represent the full diversity of patients (age, ethnicity, imaging equipment), so a model trained here could underperform for underrepresented groups without further validation on a representative population. Feature importance should be reviewed by domain experts to confirm reliance on medically meaningful signals rather than spurious correlations. Ultimately, such a model should augment, not replace, clinical judgment, deployed with clear documentation of its limitations and intended scope.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2026-09-17T04:30:17.599Z</dcterms:created>
  <dcterms:modified xsi:type="dcterms:W3CDTF">2026-09-17T04:30:17.599Z</dcterms:modified>
</cp:coreProperties>
</file>

<file path=docProps/custom.xml><?xml version="1.0" encoding="utf-8"?>
<Properties xmlns="http://schemas.openxmlformats.org/officeDocument/2006/custom-properties" xmlns:vt="http://schemas.openxmlformats.org/officeDocument/2006/docPropsVTypes"/>
</file>