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C4A63"/>
          <w:sz w:val="52"/>
          <w:szCs w:val="52"/>
        </w:rPr>
        <w:t xml:space="preserve">风电场尾流控制策略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C4A63"/>
          <w:sz w:val="44"/>
          <w:szCs w:val="44"/>
        </w:rPr>
        <w:t xml:space="preserve">三套仿真环境对比分析报告</w:t>
      </w:r>
    </w:p>
    <w:p>
      <w:pPr>
        <w:pBdr>
          <w:bottom w:val="single" w:color="C56A16" w:sz="12" w:space="8"/>
        </w:pBdr>
        <w:spacing w:after="360"/>
        <w:jc w:val="center"/>
      </w:pPr>
      <w:r>
        <w:rPr>
          <w:sz w:val="2"/>
          <w:szCs w:val="2"/>
        </w:rPr>
        <w:t xml:space="preserve"/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2B2B2B"/>
          <w:sz w:val="26"/>
          <w:szCs w:val="26"/>
        </w:rPr>
        <w:t xml:space="preserve">FLORIS · FAST.Farm 稳态风 · FAST.Farm 湍流风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偏航控制与诱导因子（降功率）控制的多维评估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C6E9B"/>
                <w:sz w:val="40"/>
                <w:szCs w:val="40"/>
              </w:rPr>
              <w:t xml:space="preserve">1,362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595959"/>
                <w:sz w:val="18"/>
                <w:szCs w:val="18"/>
              </w:rPr>
              <w:t xml:space="preserve">仿真工况总数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F7A3D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595959"/>
                <w:sz w:val="18"/>
                <w:szCs w:val="18"/>
              </w:rPr>
              <w:t xml:space="preserve">湍流强度水平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56A16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595959"/>
                <w:sz w:val="18"/>
                <w:szCs w:val="18"/>
              </w:rPr>
              <w:t xml:space="preserve">控制策略维度</w:t>
            </w:r>
          </w:p>
        </w:tc>
      </w:tr>
    </w:tbl>
    <w:p>
      <w:pPr>
        <w:spacing w:before="1400"/>
        <w:jc w:val="center"/>
      </w:pPr>
      <w:r>
        <w:rPr>
          <w:rFonts w:ascii="Microsoft YaHei" w:cs="Microsoft YaHei" w:eastAsia="Microsoft YaHei" w:hAnsi="Microsoft YaHei"/>
          <w:color w:val="2B2B2B"/>
          <w:sz w:val="22"/>
          <w:szCs w:val="22"/>
        </w:rPr>
        <w:t xml:space="preserve">仿真数据分析组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2026 年 7 月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color w:val="2C4A63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</w:rPr>
        <w:t xml:space="preserve">执行摘要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本报告在同一组网格化工况上，系统对比三套建模层级——</w:t>
      </w:r>
      <w:r>
        <w:rPr>
          <w:rFonts w:ascii="Microsoft YaHei" w:cs="Microsoft YaHei" w:eastAsia="Microsoft YaHei" w:hAnsi="Microsoft YaHei"/>
          <w:b/>
          <w:bCs/>
          <w:color w:val="2C6E9B"/>
          <w:sz w:val="21"/>
          <w:szCs w:val="21"/>
        </w:rPr>
        <w:t xml:space="preserve">FLORIS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（工程化稳态尾流模型）、</w:t>
      </w:r>
      <w:r>
        <w:rPr>
          <w:rFonts w:ascii="Microsoft YaHei" w:cs="Microsoft YaHei" w:eastAsia="Microsoft YaHei" w:hAnsi="Microsoft YaHei"/>
          <w:b/>
          <w:bCs/>
          <w:color w:val="C56A16"/>
          <w:sz w:val="21"/>
          <w:szCs w:val="21"/>
        </w:rPr>
        <w:t xml:space="preserve">FAST.Farm 稳态风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（高保真动态求解、定常来流）与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FAST.Farm 湍流风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（高保真动态求解、含湍流脉动来流）——在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偏航控制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诱导因子（降功率）控制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两类尾流控制策略下的场级发电表现。相较上一版，湍流风数据集已由 108 个工况扩充至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534 个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，并首次在三个湍流强度水平（TI = 0.05 / 0.10 / 0.15）上完整覆盖 U×风向×间距网格。这使得此前因缺少湍流结果而只能"稳态 vs FLORIS"两方对比的章节，全部升级为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三方对比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，并新增贯穿全篇的湍流强度维度分析。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核心发现</w:t>
      </w:r>
    </w:p>
    <w:tbl>
      <w:tblPr>
        <w:tblW w:type="pct" w:w="100%"/>
        <w:tblBorders>
          <w:top w:val="none"/>
          <w:left w:val="single" w:color="3F7A3D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F7A3D"/>
                <w:sz w:val="21"/>
                <w:szCs w:val="21"/>
              </w:rPr>
              <w:t xml:space="preserve">发现一 · 湍流强度使基准偏差"符号翻转"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FAST.Farm 相对 FLORIS 的基准场级功率偏差随湍流强度显著变化：低湍流（TI=0.05）时 FAST.Farm 比 FLORIS </w:t>
            </w: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21"/>
                <w:szCs w:val="21"/>
              </w:rPr>
              <w:t xml:space="preserve">低约 4.8%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，而高湍流（TI=0.15）时反而</w:t>
            </w: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21"/>
                <w:szCs w:val="21"/>
              </w:rPr>
              <w:t xml:space="preserve">高约 2.9%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。说明 FLORIS 在高湍流下低估了尾流的湍流掺混恢复——这一规律仅凭稳态数据无法揭示。</w:t>
            </w:r>
          </w:p>
        </w:tc>
      </w:tr>
    </w:tbl>
    <w:tbl>
      <w:tblPr>
        <w:tblW w:type="pct" w:w="100%"/>
        <w:tblBorders>
          <w:top w:val="none"/>
          <w:left w:val="single" w:color="7B4EA8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7B4EA8"/>
                <w:sz w:val="21"/>
                <w:szCs w:val="21"/>
              </w:rPr>
              <w:t xml:space="preserve">发现二 · 功率脉动随湍流强度单调增强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场级功率时序脉动（变异系数 CoV）随湍流强度单调上升：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7B4EA8"/>
                <w:sz w:val="21"/>
                <w:szCs w:val="21"/>
              </w:rPr>
              <w:t xml:space="preserve">7.2% → 14.2% → 20.1%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（TI 0.05→0.10→0.15）。紧凑间距（2D）下脉动最剧（约 17.9%），凸显下游机组承受的动态载荷随湍流加剧。</w:t>
            </w:r>
          </w:p>
        </w:tc>
      </w:tr>
    </w:tbl>
    <w:tbl>
      <w:tblPr>
        <w:tblW w:type="pct" w:w="100%"/>
        <w:tblBorders>
          <w:top w:val="none"/>
          <w:left w:val="single" w:color="C56A1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6A16"/>
                <w:sz w:val="21"/>
                <w:szCs w:val="21"/>
              </w:rPr>
              <w:t xml:space="preserve">发现三 · 控制增益在高湍流下被侵蚀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偏航有效增益全域均值为 FLORIS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21"/>
                <w:szCs w:val="21"/>
              </w:rPr>
              <w:t xml:space="preserve">+6.2%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、稳态 </w:t>
            </w: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21"/>
                <w:szCs w:val="21"/>
              </w:rPr>
              <w:t xml:space="preserve">−5.6%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、湍流 </w:t>
            </w: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21"/>
                <w:szCs w:val="21"/>
              </w:rPr>
              <w:t xml:space="preserve">−5.3%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。在湍流风内部，偏航与降功率增益均随 TI 升高而更趋不利（偏航 −4.2%→−6.1%，降功率 −0.4%→−3.9%）：湍流本身已掺混尾流，主动导流/降功率的边际收益随之下降。</w:t>
            </w:r>
          </w:p>
        </w:tc>
      </w:tr>
    </w:tbl>
    <w:tbl>
      <w:tblPr>
        <w:tblW w:type="pct" w:w="100%"/>
        <w:tblBorders>
          <w:top w:val="none"/>
          <w:left w:val="single" w:color="2C6E9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C6E9B"/>
                <w:sz w:val="21"/>
                <w:szCs w:val="21"/>
              </w:rPr>
              <w:t xml:space="preserve">发现四 · 控制指令随工况的清晰决策规律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偏航以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上游机组 T1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为主（激活率约 50%、峰值 30°），降功率以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中游机组 T2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为主（激活率约 34%、最深 60%），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下游 T3 两类指令均不动作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。两类指令热区高度一致（正对风 × 紧凑间距），约 6D 以上同步退出；且指令本身已随湍流强度自适应调整。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方法学要点：FAST.Farm 发电量计算与初始化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FAST.Farm 为时域动态求解，存在启动暂态，直接对全序列求平均会产生偏差。本报告对两类来流采用不同的取值窗口：</w:t>
      </w:r>
      <w:r>
        <w:rPr>
          <w:rFonts w:ascii="Microsoft YaHei" w:cs="Microsoft YaHei" w:eastAsia="Microsoft YaHei" w:hAnsi="Microsoft YaHei"/>
          <w:b/>
          <w:bCs/>
          <w:color w:val="C56A16"/>
          <w:sz w:val="21"/>
          <w:szCs w:val="21"/>
        </w:rPr>
        <w:t xml:space="preserve">稳态风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在暂态后收敛为定值，取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t ≥ 300 s 的收敛平台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（若用全序列朴素平均会高估约 15%）；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湍流风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不存在恒定解，取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t ≥ 120 s（越过启动暂态）的长时均值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并统计脉动。详见第 0 章方法学与图 M-1。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报告结构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0 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数据与方法学：工况网格、发电量计算与初始化处理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1 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基准工况三方对比：分维度与多维联合视图，含湍流强度维度与时序方法学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2–4 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各环境内的控制评估（FLORIS / 稳态 / 湍流），偏航与降功率并列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5 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跨环境综合对比：以湍流强度为桥梁串联三套结果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6 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控制指令决策分析：不同风况下偏航与降功率的决策规律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7 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结论与建议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</w:rPr>
        <w:t xml:space="preserve">第 0 章　数据与方法学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0.1　三套仿真环境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三套环境构成由简到繁的建模谱系。</w:t>
      </w:r>
      <w:r>
        <w:rPr>
          <w:rFonts w:ascii="Microsoft YaHei" w:cs="Microsoft YaHei" w:eastAsia="Microsoft YaHei" w:hAnsi="Microsoft YaHei"/>
          <w:b/>
          <w:bCs/>
          <w:color w:val="2C6E9B"/>
          <w:sz w:val="21"/>
          <w:szCs w:val="21"/>
        </w:rPr>
        <w:t xml:space="preserve">FLORIS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是基于解析尾流叠加的工程化稳态模型，计算极快、用于大规模寻优；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FAST.Farm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是中高保真的动态尾流求解器，显式模拟尾流的平流与曲折（meandering）。FAST.Farm 又分为两种来流：</w:t>
      </w:r>
      <w:r>
        <w:rPr>
          <w:rFonts w:ascii="Microsoft YaHei" w:cs="Microsoft YaHei" w:eastAsia="Microsoft YaHei" w:hAnsi="Microsoft YaHei"/>
          <w:b/>
          <w:bCs/>
          <w:color w:val="C56A16"/>
          <w:sz w:val="21"/>
          <w:szCs w:val="21"/>
        </w:rPr>
        <w:t xml:space="preserve">稳态风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（定常均匀来流，用于隔离动态求解与解析模型的差异）与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湍流风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（含湍流脉动的真实来流，最接近现场）。三者构成"解析↔动态""定常↔湍流"的正交对照。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0.2　工况网格与覆盖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三套环境共享 U（风速）× wd（风向偏差）× spacing（机组纵向间距）的核心网格；FLORIS 与湍流风额外覆盖湍流强度 TI 维度。所有对比在匹配工况上进行（同 U、同 wd、同间距，湍流风再匹配同 TI）。三机串列布局（T1 上游、T2 中游、T3 下游）。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E0E0E0" w:sz="2"/>
          <w:insideV w:val="single" w:color="E0E0E0" w:sz="2"/>
        </w:tblBorders>
      </w:tblPr>
      <w:tblGrid>
        <w:gridCol w:w="1900"/>
        <w:gridCol w:w="1500"/>
        <w:gridCol w:w="2600"/>
        <w:gridCol w:w="3360"/>
      </w:tblGrid>
      <w:tr>
        <w:trPr>
          <w:cantSplit/>
          <w:tblHeader/>
        </w:trPr>
        <w:tc>
          <w:tcPr>
            <w:tcW w:type="dxa" w:w="19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环境</w:t>
            </w:r>
          </w:p>
        </w:tc>
        <w:tc>
          <w:tcPr>
            <w:tcW w:type="dxa" w:w="15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工况数</w:t>
            </w:r>
          </w:p>
        </w:tc>
        <w:tc>
          <w:tcPr>
            <w:tcW w:type="dxa" w:w="26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控制策略</w:t>
            </w:r>
          </w:p>
        </w:tc>
        <w:tc>
          <w:tcPr>
            <w:tcW w:type="dxa" w:w="336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参数覆盖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C6E9B"/>
                <w:sz w:val="19"/>
                <w:szCs w:val="19"/>
              </w:rPr>
              <w:t xml:space="preserve">FLORIS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648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基准 / 偏航 / 降功率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U∈{6,8,10}；wd∈{−20…20}；TI∈{0.05,0.06,0.1,0.15}；间距∈{2,4,6,7,8}D</w:t>
            </w:r>
          </w:p>
        </w:tc>
      </w:tr>
      <w:tr>
        <w:trPr>
          <w:cantSplit/>
        </w:trPr>
        <w:tc>
          <w:tcPr>
            <w:tcW w:type="dxa" w:w="19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56A16"/>
                <w:sz w:val="19"/>
                <w:szCs w:val="19"/>
              </w:rPr>
              <w:t xml:space="preserve">FAST.Farm 稳态</w:t>
            </w:r>
          </w:p>
        </w:tc>
        <w:tc>
          <w:tcPr>
            <w:tcW w:type="dxa" w:w="15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180</w:t>
            </w:r>
          </w:p>
        </w:tc>
        <w:tc>
          <w:tcPr>
            <w:tcW w:type="dxa" w:w="26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基准 / 偏航 / 降功率</w:t>
            </w:r>
          </w:p>
        </w:tc>
        <w:tc>
          <w:tcPr>
            <w:tcW w:type="dxa" w:w="336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U∈{6,8,10}；wd∈{−20…20}；无 TI（定常）；间距∈{2,4,6,8}D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F7A3D"/>
                <w:sz w:val="19"/>
                <w:szCs w:val="19"/>
              </w:rPr>
              <w:t xml:space="preserve">FAST.Farm 湍流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534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基准 / 偏航 / 降功率</w:t>
            </w:r>
          </w:p>
        </w:tc>
        <w:tc>
          <w:tcPr>
            <w:tcW w:type="dxa" w:w="33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U∈{6,8,10}；wd∈{−20…20}；TI∈{0.05,0.1,0.15}；间距∈{2,4,6,8}D</w:t>
            </w:r>
          </w:p>
        </w:tc>
      </w:tr>
    </w:tbl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表 0-1　三套仿真环境的工况覆盖（本版湍流风已扩充至 534 个工况、三个 TI 水平）</w:t>
      </w:r>
    </w:p>
    <w:tbl>
      <w:tblPr>
        <w:tblW w:type="pct" w:w="100%"/>
        <w:tblBorders>
          <w:top w:val="none"/>
          <w:left w:val="single" w:color="3F7A3D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F7A3D"/>
                <w:sz w:val="21"/>
                <w:szCs w:val="21"/>
              </w:rPr>
              <w:t xml:space="preserve">关于本版扩充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上一版湍流风仅 108 个工况、单一湍流强度，故第 1、5 章的基准与跨环境对比只能"稳态 vs FLORIS"。本版湍流风扩至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534 个工况、TI∈{0.05,0.10,0.15}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，所有相关章节均升级为三方对比，并新增湍流强度维度的专门分析。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0.3　场级发电量的计算口径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三套环境的功率量纲一致（MW），但时间性质不同。</w:t>
      </w:r>
      <w:r>
        <w:rPr>
          <w:rFonts w:ascii="Microsoft YaHei" w:cs="Microsoft YaHei" w:eastAsia="Microsoft YaHei" w:hAnsi="Microsoft YaHei"/>
          <w:b/>
          <w:bCs/>
          <w:color w:val="2C6E9B"/>
          <w:sz w:val="21"/>
          <w:szCs w:val="21"/>
        </w:rPr>
        <w:t xml:space="preserve">FLORIS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输出为稳态定值，直接取场级功率即可。FAST.Farm 为时域求解，输出随时间演化的功率序列，需要先处理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启动暂态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再取平均。所有 FAST.Farm 结果的"场级功率"均指对场级功率时序在指定窗口内求得的时均值，各控制策略的收益均在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相同窗口口径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下比较。需要说明的是，由于稳态与湍流的取值窗口不同，两者的绝对功率不宜简单等同比较；因此报告中所有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控制收益均取"控制相对同环境基准"的相对量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（有效增益 =（控制−基准）/基准），从而抵消口径差异、使三套环境可比。</w:t>
      </w:r>
    </w:p>
    <w:p>
      <w:pPr>
        <w:pStyle w:val="Heading3"/>
        <w:spacing w:after="80" w:before="150"/>
      </w:pPr>
      <w:r>
        <w:rPr>
          <w:rFonts w:ascii="Microsoft YaHei" w:cs="Microsoft YaHei" w:eastAsia="Microsoft YaHei" w:hAnsi="Microsoft YaHei"/>
          <w:b/>
          <w:bCs/>
        </w:rPr>
        <w:t xml:space="preserve">0.3.1　稳态风：取收敛平台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稳态风来流恒定，功率序列在经历启动暂态后</w:t>
      </w:r>
      <w:r>
        <w:rPr>
          <w:rFonts w:ascii="Microsoft YaHei" w:cs="Microsoft YaHei" w:eastAsia="Microsoft YaHei" w:hAnsi="Microsoft YaHei"/>
          <w:b/>
          <w:bCs/>
          <w:color w:val="C56A16"/>
          <w:sz w:val="21"/>
          <w:szCs w:val="21"/>
        </w:rPr>
        <w:t xml:space="preserve">收敛为定值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。以典型工况（U8、wd0、4D）为例，尾流建立约在 t≈220–260 s 完成，此后 30 s 滑动标准差降至 0——序列真正变为常数。因此取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t ≥ 300 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的收敛平台作为发电量口径，保证已完全越过暂态。若改用全序列朴素平均，会把高功率的启动瞬态计入，</w:t>
      </w:r>
      <w:r>
        <w:rPr>
          <w:rFonts w:ascii="Microsoft YaHei" w:cs="Microsoft YaHei" w:eastAsia="Microsoft YaHei" w:hAnsi="Microsoft YaHei"/>
          <w:b/>
          <w:bCs/>
          <w:color w:val="B2182B"/>
          <w:sz w:val="21"/>
          <w:szCs w:val="21"/>
        </w:rPr>
        <w:t xml:space="preserve">高估约 15%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（图 M-1 左）。</w:t>
      </w:r>
    </w:p>
    <w:p>
      <w:pPr>
        <w:pStyle w:val="Heading3"/>
        <w:spacing w:after="80" w:before="150"/>
      </w:pPr>
      <w:r>
        <w:rPr>
          <w:rFonts w:ascii="Microsoft YaHei" w:cs="Microsoft YaHei" w:eastAsia="Microsoft YaHei" w:hAnsi="Microsoft YaHei"/>
          <w:b/>
          <w:bCs/>
        </w:rPr>
        <w:t xml:space="preserve">0.3.2　湍流风：取越过暂态的长时均值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湍流风来流持续脉动，功率序列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不存在恒定解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，只能取统计意义上的长时均值。做法是先丢弃启动暂态段（取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t ≥ 120 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），再对其后整段序列求时均，同时统计其脉动（CoV）。窗口敏感性分析（图 M-1 右下插图）显示：随平均起点从 0 s 推进到 120 s，均值因剔除暂态而下降约 5%，此后趋于稳定——说明 120 s 起点足以剔除暂态而不损失稳态样本。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M-1　FAST.Farm 发电量计算的初始化处理。左：稳态风收敛为定值，取 t≥300 s 平台（红线示全序列朴素平均的 +15% 高估）；右：湍流风不收敛，取 t≥120 s 长时均值，插图为窗口起点敏感性。</w:t>
      </w:r>
    </w:p>
    <w:p>
      <w:pPr>
        <w:pStyle w:val="Heading3"/>
        <w:spacing w:after="80" w:before="150"/>
      </w:pPr>
      <w:r>
        <w:rPr>
          <w:rFonts w:ascii="Microsoft YaHei" w:cs="Microsoft YaHei" w:eastAsia="Microsoft YaHei" w:hAnsi="Microsoft YaHei"/>
          <w:b/>
          <w:bCs/>
        </w:rPr>
        <w:t xml:space="preserve">0.3.3　两类来流的处理对照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E0E0E0" w:sz="2"/>
          <w:insideV w:val="single" w:color="E0E0E0" w:sz="2"/>
        </w:tblBorders>
      </w:tblPr>
      <w:tblGrid>
        <w:gridCol w:w="2400"/>
        <w:gridCol w:w="2200"/>
        <w:gridCol w:w="2360"/>
        <w:gridCol w:w="2400"/>
      </w:tblGrid>
      <w:tr>
        <w:trPr>
          <w:cantSplit/>
          <w:tblHeader/>
        </w:trPr>
        <w:tc>
          <w:tcPr>
            <w:tcW w:type="dxa" w:w="24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22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稳态风</w:t>
            </w:r>
          </w:p>
        </w:tc>
        <w:tc>
          <w:tcPr>
            <w:tcW w:type="dxa" w:w="236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湍流风</w:t>
            </w:r>
          </w:p>
        </w:tc>
        <w:tc>
          <w:tcPr>
            <w:tcW w:type="dxa" w:w="24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序列性质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暂态后收敛为常数</w:t>
            </w:r>
          </w:p>
        </w:tc>
        <w:tc>
          <w:tcPr>
            <w:tcW w:type="dxa" w:w="23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持续脉动、不收敛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决定取值方式</w:t>
            </w:r>
          </w:p>
        </w:tc>
      </w:tr>
      <w:tr>
        <w:trPr>
          <w:cantSplit/>
        </w:trPr>
        <w:tc>
          <w:tcPr>
            <w:tcW w:type="dxa" w:w="24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取值窗口</w:t>
            </w:r>
          </w:p>
        </w:tc>
        <w:tc>
          <w:tcPr>
            <w:tcW w:type="dxa" w:w="22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C56A16"/>
                <w:sz w:val="19"/>
                <w:szCs w:val="19"/>
              </w:rPr>
              <w:t xml:space="preserve">t ≥ 300 s（平台）</w:t>
            </w:r>
          </w:p>
        </w:tc>
        <w:tc>
          <w:tcPr>
            <w:tcW w:type="dxa" w:w="236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F7A3D"/>
                <w:sz w:val="19"/>
                <w:szCs w:val="19"/>
              </w:rPr>
              <w:t xml:space="preserve">t ≥ 120 s（越过暂态）</w:t>
            </w:r>
          </w:p>
        </w:tc>
        <w:tc>
          <w:tcPr>
            <w:tcW w:type="dxa" w:w="24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统一各策略口径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不处理暂态的后果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B2182B"/>
                <w:sz w:val="19"/>
                <w:szCs w:val="19"/>
              </w:rPr>
              <w:t xml:space="preserve">高估约 15%</w:t>
            </w:r>
          </w:p>
        </w:tc>
        <w:tc>
          <w:tcPr>
            <w:tcW w:type="dxa" w:w="23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B2182B"/>
                <w:sz w:val="19"/>
                <w:szCs w:val="19"/>
              </w:rPr>
              <w:t xml:space="preserve">均值偏高约 5%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必须剔除暂态</w:t>
            </w:r>
          </w:p>
        </w:tc>
      </w:tr>
      <w:tr>
        <w:trPr>
          <w:cantSplit/>
        </w:trPr>
        <w:tc>
          <w:tcPr>
            <w:tcW w:type="dxa" w:w="24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脉动统计</w:t>
            </w:r>
          </w:p>
        </w:tc>
        <w:tc>
          <w:tcPr>
            <w:tcW w:type="dxa" w:w="22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无（CoV=0）</w:t>
            </w:r>
          </w:p>
        </w:tc>
        <w:tc>
          <w:tcPr>
            <w:tcW w:type="dxa" w:w="236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F7A3D"/>
                <w:sz w:val="19"/>
                <w:szCs w:val="19"/>
              </w:rPr>
              <w:t xml:space="preserve">统计 CoV</w:t>
            </w:r>
          </w:p>
        </w:tc>
        <w:tc>
          <w:tcPr>
            <w:tcW w:type="dxa" w:w="24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反映动态载荷</w:t>
            </w:r>
          </w:p>
        </w:tc>
      </w:tr>
    </w:tbl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表 0-2　稳态风与湍流风发电量计算口径对照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</w:rPr>
        <w:t xml:space="preserve">第 1 章　基准工况：三套环境对比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本章比较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未施加任何控制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的基准工况下，三套环境的场级功率一致性。基准是控制评估的参照系——若基准本身系统性偏移，控制收益的解读就必须相应校正。本版首次纳入完整的湍流风数据，故所有对比均为三方（或以 FLORIS 为参照，展示稳态与湍流两者的偏差）。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1.1　分维度偏差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 FLORIS 为参照，稳态与湍流的场级功率偏差 = (FAST.Farm − FLORIS)/FLORIS。全域平均：</w:t>
      </w:r>
      <w:r>
        <w:rPr>
          <w:rFonts w:ascii="Microsoft YaHei" w:cs="Microsoft YaHei" w:eastAsia="Microsoft YaHei" w:hAnsi="Microsoft YaHei"/>
          <w:b/>
          <w:bCs/>
          <w:color w:val="C56A16"/>
          <w:sz w:val="21"/>
          <w:szCs w:val="21"/>
        </w:rPr>
        <w:t xml:space="preserve">稳态 −5.19%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、湍流 −1.99%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。但全域均值掩盖了强烈的工况依赖——沿单一维度展开即可看到偏差在正负之间大幅摆动（图 1-1）。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1-1　基准偏差分维度对比（相对 FLORIS）。稳态与湍流在风速、风向、间距上的走向一致，但湍流整体略偏正。</w:t>
      </w:r>
    </w:p>
    <w:tbl>
      <w:tblPr>
        <w:tblW w:type="pct" w:w="98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E0E0E0" w:sz="2"/>
          <w:insideV w:val="single" w:color="E0E0E0" w:sz="2"/>
        </w:tblBorders>
      </w:tblPr>
      <w:tblGrid>
        <w:gridCol w:w="1500"/>
        <w:gridCol w:w="1950"/>
        <w:gridCol w:w="1950"/>
        <w:gridCol w:w="1950"/>
        <w:gridCol w:w="1800"/>
      </w:tblGrid>
      <w:tr>
        <w:trPr>
          <w:cantSplit/>
          <w:tblHeader/>
        </w:trPr>
        <w:tc>
          <w:tcPr>
            <w:tcW w:type="dxa" w:w="15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95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取值</w:t>
            </w:r>
          </w:p>
        </w:tc>
        <w:tc>
          <w:tcPr>
            <w:tcW w:type="dxa" w:w="195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稳态偏差</w:t>
            </w:r>
          </w:p>
        </w:tc>
        <w:tc>
          <w:tcPr>
            <w:tcW w:type="dxa" w:w="195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湍流偏差</w:t>
            </w:r>
          </w:p>
        </w:tc>
        <w:tc>
          <w:tcPr>
            <w:tcW w:type="dxa" w:w="18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一致性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风速</w:t>
            </w:r>
          </w:p>
        </w:tc>
        <w:tc>
          <w:tcPr>
            <w:tcW w:type="dxa" w:w="195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6 m/s</w:t>
            </w:r>
          </w:p>
        </w:tc>
        <w:tc>
          <w:tcPr>
            <w:tcW w:type="dxa" w:w="1950"/>
            <w:shd w:fill="E4F2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9"/>
                <w:szCs w:val="19"/>
              </w:rPr>
              <w:t xml:space="preserve">+2.5%</w:t>
            </w:r>
          </w:p>
        </w:tc>
        <w:tc>
          <w:tcPr>
            <w:tcW w:type="dxa" w:w="1950"/>
            <w:shd w:fill="E4F2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9"/>
                <w:szCs w:val="19"/>
              </w:rPr>
              <w:t xml:space="preserve">+9.4%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同号偏正</w:t>
            </w:r>
          </w:p>
        </w:tc>
      </w:tr>
      <w:tr>
        <w:trPr>
          <w:cantSplit/>
        </w:trPr>
        <w:tc>
          <w:tcPr>
            <w:tcW w:type="dxa" w:w="15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5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8 m/s</w:t>
            </w:r>
          </w:p>
        </w:tc>
        <w:tc>
          <w:tcPr>
            <w:tcW w:type="dxa" w:w="19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-1.7%</w:t>
            </w:r>
          </w:p>
        </w:tc>
        <w:tc>
          <w:tcPr>
            <w:tcW w:type="dxa" w:w="1950"/>
            <w:shd w:fill="E4F2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9"/>
                <w:szCs w:val="19"/>
              </w:rPr>
              <w:t xml:space="preserve">+0.2%</w:t>
            </w:r>
          </w:p>
        </w:tc>
        <w:tc>
          <w:tcPr>
            <w:tcW w:type="dxa" w:w="18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接近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5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10 m/s</w:t>
            </w:r>
          </w:p>
        </w:tc>
        <w:tc>
          <w:tcPr>
            <w:tcW w:type="dxa" w:w="19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-16.4%</w:t>
            </w:r>
          </w:p>
        </w:tc>
        <w:tc>
          <w:tcPr>
            <w:tcW w:type="dxa" w:w="19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-15.7%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同步偏负</w:t>
            </w:r>
          </w:p>
        </w:tc>
      </w:tr>
      <w:tr>
        <w:trPr>
          <w:cantSplit/>
        </w:trPr>
        <w:tc>
          <w:tcPr>
            <w:tcW w:type="dxa" w:w="15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风向</w:t>
            </w:r>
          </w:p>
        </w:tc>
        <w:tc>
          <w:tcPr>
            <w:tcW w:type="dxa" w:w="195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0°（正对）</w:t>
            </w:r>
          </w:p>
        </w:tc>
        <w:tc>
          <w:tcPr>
            <w:tcW w:type="dxa" w:w="1950"/>
            <w:shd w:fill="E4F2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9"/>
                <w:szCs w:val="19"/>
              </w:rPr>
              <w:t xml:space="preserve">+9.3%</w:t>
            </w:r>
          </w:p>
        </w:tc>
        <w:tc>
          <w:tcPr>
            <w:tcW w:type="dxa" w:w="1950"/>
            <w:shd w:fill="E4F2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9"/>
                <w:szCs w:val="19"/>
              </w:rPr>
              <w:t xml:space="preserve">+23.1%</w:t>
            </w:r>
          </w:p>
        </w:tc>
        <w:tc>
          <w:tcPr>
            <w:tcW w:type="dxa" w:w="18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均偏正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5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±10°</w:t>
            </w:r>
          </w:p>
        </w:tc>
        <w:tc>
          <w:tcPr>
            <w:tcW w:type="dxa" w:w="19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-6.1%</w:t>
            </w:r>
          </w:p>
        </w:tc>
        <w:tc>
          <w:tcPr>
            <w:tcW w:type="dxa" w:w="19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-5.4%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接近</w:t>
            </w:r>
          </w:p>
        </w:tc>
      </w:tr>
      <w:tr>
        <w:trPr>
          <w:cantSplit/>
        </w:trPr>
        <w:tc>
          <w:tcPr>
            <w:tcW w:type="dxa" w:w="15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5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±20°</w:t>
            </w:r>
          </w:p>
        </w:tc>
        <w:tc>
          <w:tcPr>
            <w:tcW w:type="dxa" w:w="19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-11.6%</w:t>
            </w:r>
          </w:p>
        </w:tc>
        <w:tc>
          <w:tcPr>
            <w:tcW w:type="dxa" w:w="19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-11.4%</w:t>
            </w:r>
          </w:p>
        </w:tc>
        <w:tc>
          <w:tcPr>
            <w:tcW w:type="dxa" w:w="18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接近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间距</w:t>
            </w:r>
          </w:p>
        </w:tc>
        <w:tc>
          <w:tcPr>
            <w:tcW w:type="dxa" w:w="195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2D</w:t>
            </w:r>
          </w:p>
        </w:tc>
        <w:tc>
          <w:tcPr>
            <w:tcW w:type="dxa" w:w="1950"/>
            <w:shd w:fill="E4F2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9"/>
                <w:szCs w:val="19"/>
              </w:rPr>
              <w:t xml:space="preserve">+3.6%</w:t>
            </w:r>
          </w:p>
        </w:tc>
        <w:tc>
          <w:tcPr>
            <w:tcW w:type="dxa" w:w="1950"/>
            <w:shd w:fill="E4F2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9"/>
                <w:szCs w:val="19"/>
              </w:rPr>
              <w:t xml:space="preserve">+8.5%</w:t>
            </w:r>
          </w:p>
        </w:tc>
        <w:tc>
          <w:tcPr>
            <w:tcW w:type="dxa" w:w="1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均偏正</w:t>
            </w:r>
          </w:p>
        </w:tc>
      </w:tr>
      <w:tr>
        <w:trPr>
          <w:cantSplit/>
        </w:trPr>
        <w:tc>
          <w:tcPr>
            <w:tcW w:type="dxa" w:w="15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195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8D</w:t>
            </w:r>
          </w:p>
        </w:tc>
        <w:tc>
          <w:tcPr>
            <w:tcW w:type="dxa" w:w="19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-10.1%</w:t>
            </w:r>
          </w:p>
        </w:tc>
        <w:tc>
          <w:tcPr>
            <w:tcW w:type="dxa" w:w="19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-7.0%</w:t>
            </w:r>
          </w:p>
        </w:tc>
        <w:tc>
          <w:tcPr>
            <w:tcW w:type="dxa" w:w="18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均偏负</w:t>
            </w:r>
          </w:p>
        </w:tc>
      </w:tr>
    </w:tbl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表 1-1　基准偏差的分维度数值（绿正红负）。10 m/s 与大偏航角下两者同步偏负，正对风与紧凑间距下同步偏正。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1.2　多维联合视图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单维平均会把某一维度的强信号稀释。例如"按间距"看 2D 仅 +3.6%（稳态），但那是不同风向下正负相消的结果——正对风的 2D 实为 +20% 而斜风为负。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联合热力图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保留两维交互，能锁定真正的极值组合。图 1-2 上排为稳态、下排为湍流，且湍流第三列展示了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新增的湍流强度维度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1-2　基准偏差多维联合分布。上：稳态（风向×间距、风速×间距、风速×风向）；下：湍流（风向×间距、风速×间距、湍流强度×间距）。两套环境的热区结构高度相似：正对风×紧凑间距为强正，高风速×大间距为强负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联合视图揭示了单维视图看不到的一致规律：两套环境的偏差都由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（风向×间距）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主导——正对风（0°）叠加紧凑间距（2D）时 FAST.Farm 显著高于 FLORIS（稳态 +20%、湍流 +32%），因为此时尾流遮挡最重、动态求解捕捉到的恢复比解析模型更充分；反之高风速（10 m/s）叠加大间距时 FAST.Farm 明显偏低。</w:t>
      </w:r>
    </w:p>
    <w:p>
      <w:r>
        <w:br w:type="page"/>
      </w:r>
    </w:p>
    <w:p>
      <w:pPr>
        <w:pStyle w:val="Heading3"/>
        <w:spacing w:after="80" w:before="150"/>
      </w:pPr>
      <w:r>
        <w:rPr>
          <w:rFonts w:ascii="Microsoft YaHei" w:cs="Microsoft YaHei" w:eastAsia="Microsoft YaHei" w:hAnsi="Microsoft YaHei"/>
          <w:b/>
          <w:bCs/>
        </w:rPr>
        <w:t xml:space="preserve">1.2.1　湍流强度维度（本版新增）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湍流风数据的扩充带来一个仅凭稳态无法获得的关键视角：基准偏差如何随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湍流强度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变化。图 1-3 显示偏差随 TI 发生</w:t>
      </w:r>
      <w:r>
        <w:rPr>
          <w:rFonts w:ascii="Microsoft YaHei" w:cs="Microsoft YaHei" w:eastAsia="Microsoft YaHei" w:hAnsi="Microsoft YaHei"/>
          <w:b/>
          <w:bCs/>
          <w:color w:val="B2182B"/>
          <w:sz w:val="21"/>
          <w:szCs w:val="21"/>
        </w:rPr>
        <w:t xml:space="preserve">符号翻转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——低湍流下 FAST.Farm 低于 FLORIS（−4.8%），高湍流下反而高于 FLORIS（+2.9%）。物理上，FLORIS 的解析尾流对湍流掺混的表达偏弱，故在高湍流下低估了尾流恢复；而 FAST.Farm 显式模拟了湍流增强的动量补充。与此同时，功率脉动 CoV 随 TI 单调增强（7.2%→20.1%）。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1-3　湍流强度维度：左为基准偏差随 TI 的符号翻转，右为功率脉动 CoV 随 TI 的单调增强。二者共同刻画了"湍流越强、解析模型越保守、动态载荷越大"。</w:t>
      </w:r>
    </w:p>
    <w:tbl>
      <w:tblPr>
        <w:tblW w:type="pct" w:w="93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E0E0E0" w:sz="2"/>
          <w:insideV w:val="single" w:color="E0E0E0" w:sz="2"/>
        </w:tblBorders>
      </w:tblPr>
      <w:tblGrid>
        <w:gridCol w:w="1900"/>
        <w:gridCol w:w="2100"/>
        <w:gridCol w:w="2100"/>
        <w:gridCol w:w="2560"/>
      </w:tblGrid>
      <w:tr>
        <w:trPr>
          <w:cantSplit/>
          <w:tblHeader/>
        </w:trPr>
        <w:tc>
          <w:tcPr>
            <w:tcW w:type="dxa" w:w="19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湍流强度</w:t>
            </w:r>
          </w:p>
        </w:tc>
        <w:tc>
          <w:tcPr>
            <w:tcW w:type="dxa" w:w="21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基准偏差（vs FLORIS）</w:t>
            </w:r>
          </w:p>
        </w:tc>
        <w:tc>
          <w:tcPr>
            <w:tcW w:type="dxa" w:w="21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功率脉动 CoV</w:t>
            </w:r>
          </w:p>
        </w:tc>
        <w:tc>
          <w:tcPr>
            <w:tcW w:type="dxa" w:w="256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解读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TI = 0.05</w:t>
            </w:r>
          </w:p>
        </w:tc>
        <w:tc>
          <w:tcPr>
            <w:tcW w:type="dxa" w:w="210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-4.8%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7B4EA8"/>
                <w:sz w:val="19"/>
                <w:szCs w:val="19"/>
              </w:rPr>
              <w:t xml:space="preserve">7.2%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低湍流：FLORIS 略高估恢复</w:t>
            </w:r>
          </w:p>
        </w:tc>
      </w:tr>
      <w:tr>
        <w:trPr>
          <w:cantSplit/>
        </w:trPr>
        <w:tc>
          <w:tcPr>
            <w:tcW w:type="dxa" w:w="19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TI = 0.10</w:t>
            </w:r>
          </w:p>
        </w:tc>
        <w:tc>
          <w:tcPr>
            <w:tcW w:type="dxa" w:w="210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-4.1%</w:t>
            </w:r>
          </w:p>
        </w:tc>
        <w:tc>
          <w:tcPr>
            <w:tcW w:type="dxa" w:w="21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7B4EA8"/>
                <w:sz w:val="19"/>
                <w:szCs w:val="19"/>
              </w:rPr>
              <w:t xml:space="preserve">14.2%</w:t>
            </w:r>
          </w:p>
        </w:tc>
        <w:tc>
          <w:tcPr>
            <w:tcW w:type="dxa" w:w="256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中湍流：接近但仍偏负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TI = 0.15</w:t>
            </w:r>
          </w:p>
        </w:tc>
        <w:tc>
          <w:tcPr>
            <w:tcW w:type="dxa" w:w="2100"/>
            <w:shd w:fill="E4F2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9"/>
                <w:szCs w:val="19"/>
              </w:rPr>
              <w:t xml:space="preserve">+2.9%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B4EA8"/>
                <w:sz w:val="19"/>
                <w:szCs w:val="19"/>
              </w:rPr>
              <w:t xml:space="preserve">20.1%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高湍流：FLORIS 低估恢复</w:t>
            </w:r>
          </w:p>
        </w:tc>
      </w:tr>
    </w:tbl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表 1-2　湍流强度对基准偏差与脉动的影响</w:t>
      </w:r>
    </w:p>
    <w:p>
      <w:r>
        <w:br w:type="page"/>
      </w:r>
    </w:p>
    <w:p>
      <w:pPr>
        <w:pStyle w:val="Heading3"/>
        <w:spacing w:after="80" w:before="150"/>
      </w:pPr>
      <w:r>
        <w:rPr>
          <w:rFonts w:ascii="Microsoft YaHei" w:cs="Microsoft YaHei" w:eastAsia="Microsoft YaHei" w:hAnsi="Microsoft YaHei"/>
          <w:b/>
          <w:bCs/>
        </w:rPr>
        <w:t xml:space="preserve">1.2.2　湍流脉动的联合分布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脉动本身也是多维的。图 1-4 展示 CoV 在（湍流强度×间距）、（风速×间距）、（湍流强度×风速）上的联合分布：脉动由 TI 主导，其次是紧凑间距（下游机组处于强尾流曲折区），在高 TI×2D×低风速组合下达到峰值。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1-4　湍流场级功率脉动 CoV 的多维联合分布（顺序色标，越深脉动越强）。</w:t>
      </w:r>
    </w:p>
    <w:p>
      <w:pPr>
        <w:pStyle w:val="Heading3"/>
        <w:spacing w:after="80" w:before="150"/>
      </w:pPr>
      <w:r>
        <w:rPr>
          <w:rFonts w:ascii="Microsoft YaHei" w:cs="Microsoft YaHei" w:eastAsia="Microsoft YaHei" w:hAnsi="Microsoft YaHei"/>
          <w:b/>
          <w:bCs/>
        </w:rPr>
        <w:t xml:space="preserve">1.2.3　典型工况时序对比（稳态 vs 湍流）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分维度与热力图给出的是时均结果，但稳态与湍流的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时序行为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本质不同。图 TS-1 在三种遮挡程度（深 2D / 中 4D / 弱 8D，均取 U8、wd0）下并置两者：稳态经暂态后</w:t>
      </w:r>
      <w:r>
        <w:rPr>
          <w:rFonts w:ascii="Microsoft YaHei" w:cs="Microsoft YaHei" w:eastAsia="Microsoft YaHei" w:hAnsi="Microsoft YaHei"/>
          <w:b/>
          <w:bCs/>
          <w:color w:val="C56A16"/>
          <w:sz w:val="21"/>
          <w:szCs w:val="21"/>
        </w:rPr>
        <w:t xml:space="preserve">收敛为水平直线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，湍流则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围绕一个更高的均值持续脉动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。湍流均值偏高与图 1-3 的高恢复一致，而其脉动幅度随遮挡加深而增大。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TS-1　典型工况场级功率时序（虚线为各自取值窗口内的时均）。稳态收敛为定值，湍流围绕更高均值脉动，遮挡越深脉动越剧。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分解到单机（图 TS-2）可见：上游 T1 受来流直接驱动、两种来流下都较平稳；越往下游，处于前机尾流中的机组（T2、T3）在湍流下脉动越剧烈，反映尾流曲折对下游动态载荷的放大。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TS-2　单机功率时序（U8、wd0、4D）。下游机组在湍流来流下脉动最剧，上游机组最平稳。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</w:rPr>
        <w:t xml:space="preserve">第 2 章　FLORIS 环境内的控制评估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FLORIS 是控制策略的</w:t>
      </w:r>
      <w:r>
        <w:rPr>
          <w:rFonts w:ascii="Microsoft YaHei" w:cs="Microsoft YaHei" w:eastAsia="Microsoft YaHei" w:hAnsi="Microsoft YaHei"/>
          <w:b/>
          <w:bCs/>
          <w:color w:val="2C6E9B"/>
          <w:sz w:val="21"/>
          <w:szCs w:val="21"/>
        </w:rPr>
        <w:t xml:space="preserve">优化来源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——偏航角与降功率比例均由 FLORIS 寻优得到。因此在 FLORIS 自身环境内，控制"应当"带来正收益；本章量化这一理想收益，作为高保真环境的上界参照。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2.1　分维度有效增益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偏航全域均值 </w:t>
      </w:r>
      <w:r>
        <w:rPr>
          <w:rFonts w:ascii="Microsoft YaHei" w:cs="Microsoft YaHei" w:eastAsia="Microsoft YaHei" w:hAnsi="Microsoft YaHei"/>
          <w:b/>
          <w:bCs/>
          <w:color w:val="1B7A3D"/>
          <w:sz w:val="21"/>
          <w:szCs w:val="21"/>
        </w:rPr>
        <w:t xml:space="preserve">+6.2%</w:t>
      </w:r>
      <w:r>
        <w:rPr>
          <w:rFonts w:ascii="Microsoft YaHei" w:cs="Microsoft YaHei" w:eastAsia="Microsoft YaHei" w:hAnsi="Microsoft YaHei"/>
          <w:b/>
          <w:bCs/>
          <w:color w:val="1B7A3D"/>
          <w:sz w:val="21"/>
          <w:szCs w:val="21"/>
        </w:rPr>
        <w:t xml:space="preserve">、降功率 +1.5%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，均为正。图 2-1 并列展示两类控制在各维度的增益：偏航收益普遍高于降功率，且两者都在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紧凑间距、正对风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下最大。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2-1　FLORIS：偏航（实心）与降功率（斜纹）有效增益分维度对比。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2.2　多维联合视图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 2-2 上排为偏航、下排为降功率，各含（风向×间距）与（风速×间距）两个联合视图。</w:t>
      </w:r>
      <w:r>
        <w:rPr>
          <w:rFonts w:ascii="Microsoft YaHei" w:cs="Microsoft YaHei" w:eastAsia="Microsoft YaHei" w:hAnsi="Microsoft YaHei"/>
          <w:b/>
          <w:bCs/>
          <w:color w:val="2C6E9B"/>
          <w:sz w:val="21"/>
          <w:szCs w:val="21"/>
        </w:rPr>
        <w:t xml:space="preserve">偏航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的收益热区集中在正对风×2D（+23.6%），随间距增大与风向偏离迅速衰减；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降功率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的热区更"局部"——仅在最紧凑间距下有可观收益，6D 以上基本归零。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2-2　FLORIS：偏航（上）与降功率（下）有效增益多维联合分布。偏航可挖掘幅度更大、覆盖工况更广；降功率更集中于紧凑间距。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</w:rPr>
        <w:t xml:space="preserve">第 3 章　FAST.Farm 稳态风环境内的控制评估</w:t>
      </w:r>
    </w:p>
    <w:tbl>
      <w:tblPr>
        <w:tblW w:type="pct" w:w="100%"/>
        <w:tblBorders>
          <w:top w:val="none"/>
          <w:left w:val="single" w:color="C56A1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6A16"/>
                <w:sz w:val="21"/>
                <w:szCs w:val="21"/>
              </w:rPr>
              <w:t xml:space="preserve">核心反差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把 FLORIS 寻优出的同一套指令搬到高保真稳态求解中，偏航全域均值由 FLORIS 的 +6.2% </w:t>
            </w: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21"/>
                <w:szCs w:val="21"/>
              </w:rPr>
              <w:t xml:space="preserve">翻转为 −5.6%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。即：在解析模型里有利的偏航，到了动态求解里平均而言反而损失发电量——控制策略存在"用力过猛"的过度导流。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3.1　分维度有效增益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偏航中位数为 0（多数工况指令为零或近零），但均值被少数</w:t>
      </w:r>
      <w:r>
        <w:rPr>
          <w:rFonts w:ascii="Microsoft YaHei" w:cs="Microsoft YaHei" w:eastAsia="Microsoft YaHei" w:hAnsi="Microsoft YaHei"/>
          <w:b/>
          <w:bCs/>
          <w:color w:val="B2182B"/>
          <w:sz w:val="21"/>
          <w:szCs w:val="21"/>
        </w:rPr>
        <w:t xml:space="preserve">大幅负收益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工况拉低——主要出现在大偏航角、紧凑间距处，此时动态尾流并未如解析模型预期般"让开"，导流损失超过下游获益。降功率均值 −0.5%，接近中性、相对稳健。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3-1　稳态风：偏航（实心）与降功率（斜纹）有效增益分维度对比。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3.2　多维联合视图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 3-2 显示，偏航的负收益集中在紧凑间距×大风向偏差；正对风下仍可为正，说明策略并非全盘失效，而是在特定工况过度导流。降功率的联合分布几乎全域接近中性，个别紧凑间距下略负，体现其对建模差异的低敏感性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3-2　稳态风：偏航（上）与降功率（下）有效增益多维联合分布。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</w:rPr>
        <w:t xml:space="preserve">第 4 章　FAST.Farm 湍流风环境内的控制评估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湍流风是最贴近现场的环境。本版数据覆盖三个湍流强度水平，使我们不仅能给出湍流风下的控制收益，还能刻画收益如何随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湍流强度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变化——这是评估控制策略现场可用性的关键。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4.1　分维度有效增益（含湍流强度维度）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偏航全域均值 </w:t>
      </w:r>
      <w:r>
        <w:rPr>
          <w:rFonts w:ascii="Microsoft YaHei" w:cs="Microsoft YaHei" w:eastAsia="Microsoft YaHei" w:hAnsi="Microsoft YaHei"/>
          <w:b/>
          <w:bCs/>
          <w:color w:val="B2182B"/>
          <w:sz w:val="21"/>
          <w:szCs w:val="21"/>
        </w:rPr>
        <w:t xml:space="preserve">−5.3%</w:t>
      </w:r>
      <w:r>
        <w:rPr>
          <w:rFonts w:ascii="Microsoft YaHei" w:cs="Microsoft YaHei" w:eastAsia="Microsoft YaHei" w:hAnsi="Microsoft YaHei"/>
          <w:b/>
          <w:bCs/>
          <w:color w:val="B2182B"/>
          <w:sz w:val="21"/>
          <w:szCs w:val="21"/>
        </w:rPr>
        <w:t xml:space="preserve">、降功率 −2.2%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，与稳态同为负，量级相近。图 4-1 的第四个面板（按湍流强度）揭示关键趋势：两类控制的增益都随 TI 升高而</w:t>
      </w:r>
      <w:r>
        <w:rPr>
          <w:rFonts w:ascii="Microsoft YaHei" w:cs="Microsoft YaHei" w:eastAsia="Microsoft YaHei" w:hAnsi="Microsoft YaHei"/>
          <w:b/>
          <w:bCs/>
          <w:color w:val="B2182B"/>
          <w:sz w:val="21"/>
          <w:szCs w:val="21"/>
        </w:rPr>
        <w:t xml:space="preserve">更趋不利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（偏航 −4.2%→−6.1%，降功率 −0.4%→−3.9%）。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4-1　湍流风：偏航（实心）与降功率（斜纹）有效增益分维度对比，最右为新增的湍流强度维度。</w:t>
      </w:r>
    </w:p>
    <w:tbl>
      <w:tblPr>
        <w:tblW w:type="pct" w:w="88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E0E0E0" w:sz="2"/>
          <w:insideV w:val="single" w:color="E0E0E0" w:sz="2"/>
        </w:tblBorders>
      </w:tblPr>
      <w:tblGrid>
        <w:gridCol w:w="1700"/>
        <w:gridCol w:w="2000"/>
        <w:gridCol w:w="2000"/>
        <w:gridCol w:w="2560"/>
      </w:tblGrid>
      <w:tr>
        <w:trPr>
          <w:cantSplit/>
          <w:tblHeader/>
        </w:trPr>
        <w:tc>
          <w:tcPr>
            <w:tcW w:type="dxa" w:w="17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湍流强度</w:t>
            </w:r>
          </w:p>
        </w:tc>
        <w:tc>
          <w:tcPr>
            <w:tcW w:type="dxa" w:w="20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偏航增益</w:t>
            </w:r>
          </w:p>
        </w:tc>
        <w:tc>
          <w:tcPr>
            <w:tcW w:type="dxa" w:w="20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降功率增益</w:t>
            </w:r>
          </w:p>
        </w:tc>
        <w:tc>
          <w:tcPr>
            <w:tcW w:type="dxa" w:w="256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趋势解读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TI = 0.05</w:t>
            </w:r>
          </w:p>
        </w:tc>
        <w:tc>
          <w:tcPr>
            <w:tcW w:type="dxa" w:w="200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-4.2%</w:t>
            </w:r>
          </w:p>
        </w:tc>
        <w:tc>
          <w:tcPr>
            <w:tcW w:type="dxa" w:w="200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-0.4%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低湍流：降功率近中性</w:t>
            </w:r>
          </w:p>
        </w:tc>
      </w:tr>
      <w:tr>
        <w:trPr>
          <w:cantSplit/>
        </w:trPr>
        <w:tc>
          <w:tcPr>
            <w:tcW w:type="dxa" w:w="17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TI = 0.10</w:t>
            </w:r>
          </w:p>
        </w:tc>
        <w:tc>
          <w:tcPr>
            <w:tcW w:type="dxa" w:w="200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-5.6%</w:t>
            </w:r>
          </w:p>
        </w:tc>
        <w:tc>
          <w:tcPr>
            <w:tcW w:type="dxa" w:w="200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-2.5%</w:t>
            </w:r>
          </w:p>
        </w:tc>
        <w:tc>
          <w:tcPr>
            <w:tcW w:type="dxa" w:w="256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中湍流：两者转负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TI = 0.15</w:t>
            </w:r>
          </w:p>
        </w:tc>
        <w:tc>
          <w:tcPr>
            <w:tcW w:type="dxa" w:w="200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-6.1%</w:t>
            </w:r>
          </w:p>
        </w:tc>
        <w:tc>
          <w:tcPr>
            <w:tcW w:type="dxa" w:w="200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-3.9%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高湍流：损失最大</w:t>
            </w:r>
          </w:p>
        </w:tc>
      </w:tr>
    </w:tbl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表 4-1　湍流风控制增益随湍流强度的变化。湍流本身已掺混尾流，主动控制的边际收益随 TI 下降。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物理解释：偏航与降功率的收益机制都依赖"人为促进尾流恢复/偏转"。当来流湍流已强烈掺混尾流时，这部分恢复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自然发生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，主动控制的增量收益被摊薄，而其自身代价（偏航的余弦功率损失、降功率的直接减产）不变，净效应随 TI 更趋负。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4.2　多维联合视图（含湍流强度）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 4-2 为 2×3 布局：上排偏航、下排降功率，第三列即（湍流强度×间距）联合视图。可见负收益在</w:t>
      </w:r>
      <w:r>
        <w:rPr>
          <w:rFonts w:ascii="Microsoft YaHei" w:cs="Microsoft YaHei" w:eastAsia="Microsoft YaHei" w:hAnsi="Microsoft YaHei"/>
          <w:b/>
          <w:bCs/>
          <w:color w:val="B2182B"/>
          <w:sz w:val="21"/>
          <w:szCs w:val="21"/>
        </w:rPr>
        <w:t xml:space="preserve">紧凑间距×高湍流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的角落最深，而 6D 以上无论 TI 高低都接近中性——与决策规律（6D 以上控制退出）一致。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4-2　湍流风：偏航（上）与降功率（下）有效增益多维联合分布，第三列为湍流强度×间距。两类控制的不利区都集中在紧凑间距，且随湍流强度加深。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</w:rPr>
        <w:t xml:space="preserve">第 5 章　跨环境综合对比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前几章分别在各环境内评估控制。本章横向汇总三套结果，并利用本版新增的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湍流强度维度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，将"稳态"与"湍流"两套高保真结果串联起来，回答一个关键问题：稳态风能否作为湍流风的代理？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5.1　控制增益全景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 5-1 与图 5-2 汇总三套环境、两类控制的全域收益。清晰呈现两级落差：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解析→动态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（FLORIS 的正收益在 FAST.Farm 中转负）是主落差；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定常→湍流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（稳态与湍流的量级接近）是次落差。降功率在三套环境中始终比偏航更接近中性，鲁棒性更好。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5-1　三套环境的控制有效增益对比（柱为均值、菱形为中位数）。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5-2　控制增益全景：环境 × 控制类型。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E0E0E0" w:sz="2"/>
          <w:insideV w:val="single" w:color="E0E0E0" w:sz="2"/>
        </w:tblBorders>
      </w:tblPr>
      <w:tblGrid>
        <w:gridCol w:w="2000"/>
        <w:gridCol w:w="1600"/>
        <w:gridCol w:w="1750"/>
        <w:gridCol w:w="1750"/>
        <w:gridCol w:w="2260"/>
      </w:tblGrid>
      <w:tr>
        <w:trPr>
          <w:cantSplit/>
          <w:tblHeader/>
        </w:trPr>
        <w:tc>
          <w:tcPr>
            <w:tcW w:type="dxa" w:w="20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16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FLORIS</w:t>
            </w:r>
          </w:p>
        </w:tc>
        <w:tc>
          <w:tcPr>
            <w:tcW w:type="dxa" w:w="175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稳态</w:t>
            </w:r>
          </w:p>
        </w:tc>
        <w:tc>
          <w:tcPr>
            <w:tcW w:type="dxa" w:w="175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湍流</w:t>
            </w:r>
          </w:p>
        </w:tc>
        <w:tc>
          <w:tcPr>
            <w:tcW w:type="dxa" w:w="226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跨环境结论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偏航</w:t>
            </w:r>
          </w:p>
        </w:tc>
        <w:tc>
          <w:tcPr>
            <w:tcW w:type="dxa" w:w="1600"/>
            <w:shd w:fill="E4F2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9"/>
                <w:szCs w:val="19"/>
              </w:rPr>
              <w:t xml:space="preserve">+6.2%</w:t>
            </w:r>
          </w:p>
        </w:tc>
        <w:tc>
          <w:tcPr>
            <w:tcW w:type="dxa" w:w="17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-5.6%</w:t>
            </w:r>
          </w:p>
        </w:tc>
        <w:tc>
          <w:tcPr>
            <w:tcW w:type="dxa" w:w="17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-5.3%</w:t>
            </w:r>
          </w:p>
        </w:tc>
        <w:tc>
          <w:tcPr>
            <w:tcW w:type="dxa" w:w="22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解析乐观，高保真转负</w:t>
            </w:r>
          </w:p>
        </w:tc>
      </w:tr>
      <w:tr>
        <w:trPr>
          <w:cantSplit/>
        </w:trPr>
        <w:tc>
          <w:tcPr>
            <w:tcW w:type="dxa" w:w="20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降功率</w:t>
            </w:r>
          </w:p>
        </w:tc>
        <w:tc>
          <w:tcPr>
            <w:tcW w:type="dxa" w:w="1600"/>
            <w:shd w:fill="E4F2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3D"/>
                <w:sz w:val="19"/>
                <w:szCs w:val="19"/>
              </w:rPr>
              <w:t xml:space="preserve">+1.5%</w:t>
            </w:r>
          </w:p>
        </w:tc>
        <w:tc>
          <w:tcPr>
            <w:tcW w:type="dxa" w:w="17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-0.5%</w:t>
            </w:r>
          </w:p>
        </w:tc>
        <w:tc>
          <w:tcPr>
            <w:tcW w:type="dxa" w:w="1750"/>
            <w:shd w:fill="F8E3E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-2.2%</w:t>
            </w:r>
          </w:p>
        </w:tc>
        <w:tc>
          <w:tcPr>
            <w:tcW w:type="dxa" w:w="226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始终更接近中性、更稳健</w:t>
            </w:r>
          </w:p>
        </w:tc>
      </w:tr>
    </w:tbl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表 5-1　三套环境控制增益全景（全域均值）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5.2　以湍流强度为桥梁：稳态是湍流的代理吗？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这是本版数据独有的分析。把湍流风增益按 TI 展开，并叠加 FLORIS 与稳态的全域参考线（图 5-3），可以看出：湍流风偏航增益在 </w:t>
      </w:r>
      <w:r>
        <w:rPr>
          <w:rFonts w:ascii="Microsoft YaHei" w:cs="Microsoft YaHei" w:eastAsia="Microsoft YaHei" w:hAnsi="Microsoft YaHei"/>
          <w:b/>
          <w:bCs/>
          <w:color w:val="C56A16"/>
          <w:sz w:val="21"/>
          <w:szCs w:val="21"/>
        </w:rPr>
        <w:t xml:space="preserve">TI≈0.10 时恰好落在稳态参考线上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，说明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稳态风是中等湍流下的良好代理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；但在低 TI 下湍流增益优于稳态、高 TI 下差于稳态——两端出现分化。因此用稳态外推现场收益时，需按现场湍流水平做修正。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5-3　湍流强度作为桥梁：湍流风增益随 TI 的走向与 FLORIS（虚线）、稳态（点线）参考的关系。偏航在 TI≈0.10 处与稳态吻合，两端分化。</w:t>
      </w:r>
    </w:p>
    <w:tbl>
      <w:tblPr>
        <w:tblW w:type="pct" w:w="100%"/>
        <w:tblBorders>
          <w:top w:val="none"/>
          <w:left w:val="single" w:color="3F7A3D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F7A3D"/>
                <w:sz w:val="21"/>
                <w:szCs w:val="21"/>
              </w:rPr>
              <w:t xml:space="preserve">对稳态代理的判断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稳态风在 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中等湍流（TI≈0.10）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 下能较好代表湍流风的平均收益，可用作快速筛选；但它</w:t>
            </w: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21"/>
                <w:szCs w:val="21"/>
              </w:rPr>
              <w:t xml:space="preserve">无法反映脉动/载荷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，也不能捕捉低/高湍流两端的收益分化。涉及现场收益核算或载荷评估时，仍应以对应 TI 的湍流风结果为准。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5.3　收益的工况再分配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三套环境的另一共性是收益的"工况再分配"：无论建模层级，控制收益都高度集中于紧凑间距（2D–4D）与正对风；6D 以上、大风向偏差下，三套环境一致地趋于中性或负。这意味着控制策略的价值区间是稳健的（与建模层级无关），可用于指导"在哪些工况启用控制"的现场逻辑。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</w:rPr>
        <w:t xml:space="preserve">第 6 章　控制指令的决策分析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前几章分析控制的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收益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；本章转向控制的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决策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本身——不同风况下，优化器给出怎样的偏航角与降功率指令，哪台机组动作、动作多大、何时不动作。指令数据取自三套仿真中一致的 yaw_cmd 与 ratio（诱导因子）列；由于优化器现已感知湍流强度，本版还能看到指令随 TI 的自适应。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6.1　机组分工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三机串列下，控制呈现清晰分工（图 6-1）：</w:t>
      </w:r>
      <w:r>
        <w:rPr>
          <w:rFonts w:ascii="Microsoft YaHei" w:cs="Microsoft YaHei" w:eastAsia="Microsoft YaHei" w:hAnsi="Microsoft YaHei"/>
          <w:b/>
          <w:bCs/>
          <w:color w:val="2C6E9B"/>
          <w:sz w:val="21"/>
          <w:szCs w:val="21"/>
        </w:rPr>
        <w:t xml:space="preserve">偏航以上游 T1 为主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（激活率约 50%、峰值 30°、激活时均值约 18°），</w:t>
      </w:r>
      <w:r>
        <w:rPr>
          <w:rFonts w:ascii="Microsoft YaHei" w:cs="Microsoft YaHei" w:eastAsia="Microsoft YaHei" w:hAnsi="Microsoft YaHei"/>
          <w:b/>
          <w:bCs/>
          <w:color w:val="B2182B"/>
          <w:sz w:val="21"/>
          <w:szCs w:val="21"/>
        </w:rPr>
        <w:t xml:space="preserve">降功率以中游 T2 为主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（激活率约 34%、最深 60%）。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下游 T3 两类指令均不动作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——因其后方无机组可保护，牺牲自身出力没有意义。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6-1　机组分工：各机组指令激活率（左）与激活时的指令强度（右）。偏航主用上游、降功率主用中游、下游不动作。</w:t>
      </w:r>
    </w:p>
    <w:tbl>
      <w:tblPr>
        <w:tblW w:type="pct" w:w="94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E0E0E0" w:sz="2"/>
          <w:insideV w:val="single" w:color="E0E0E0" w:sz="2"/>
        </w:tblBorders>
      </w:tblPr>
      <w:tblGrid>
        <w:gridCol w:w="1500"/>
        <w:gridCol w:w="1900"/>
        <w:gridCol w:w="1900"/>
        <w:gridCol w:w="1900"/>
        <w:gridCol w:w="1560"/>
      </w:tblGrid>
      <w:tr>
        <w:trPr>
          <w:cantSplit/>
          <w:tblHeader/>
        </w:trPr>
        <w:tc>
          <w:tcPr>
            <w:tcW w:type="dxa" w:w="15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机组</w:t>
            </w:r>
          </w:p>
        </w:tc>
        <w:tc>
          <w:tcPr>
            <w:tcW w:type="dxa" w:w="19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偏航激活率</w:t>
            </w:r>
          </w:p>
        </w:tc>
        <w:tc>
          <w:tcPr>
            <w:tcW w:type="dxa" w:w="19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偏航峰值</w:t>
            </w:r>
          </w:p>
        </w:tc>
        <w:tc>
          <w:tcPr>
            <w:tcW w:type="dxa" w:w="19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降功率激活率</w:t>
            </w:r>
          </w:p>
        </w:tc>
        <w:tc>
          <w:tcPr>
            <w:tcW w:type="dxa" w:w="156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降功率最深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C6E9B"/>
                <w:sz w:val="19"/>
                <w:szCs w:val="19"/>
              </w:rPr>
              <w:t xml:space="preserve">T1 上游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49.7%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30°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11.8%</w:t>
            </w:r>
          </w:p>
        </w:tc>
        <w:tc>
          <w:tcPr>
            <w:tcW w:type="dxa" w:w="15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7.2%</w:t>
            </w:r>
          </w:p>
        </w:tc>
      </w:tr>
      <w:tr>
        <w:trPr>
          <w:cantSplit/>
        </w:trPr>
        <w:tc>
          <w:tcPr>
            <w:tcW w:type="dxa" w:w="15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T2 中游</w:t>
            </w:r>
          </w:p>
        </w:tc>
        <w:tc>
          <w:tcPr>
            <w:tcW w:type="dxa" w:w="19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47.5%</w:t>
            </w:r>
          </w:p>
        </w:tc>
        <w:tc>
          <w:tcPr>
            <w:tcW w:type="dxa" w:w="19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30°</w:t>
            </w:r>
          </w:p>
        </w:tc>
        <w:tc>
          <w:tcPr>
            <w:tcW w:type="dxa" w:w="19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34.3%</w:t>
            </w:r>
          </w:p>
        </w:tc>
        <w:tc>
          <w:tcPr>
            <w:tcW w:type="dxa" w:w="156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60.0%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T3 下游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0%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0%</w:t>
            </w:r>
          </w:p>
        </w:tc>
        <w:tc>
          <w:tcPr>
            <w:tcW w:type="dxa" w:w="15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表 6-1　各机组的指令激活统计（湍流风）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6.2　偏航指令决策规律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偏航幅值随三个维度呈规律变化（图 6-2）：随风向，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正对风（0°）幅值最大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（约 22°），随风向偏离迅速减小——因斜风时尾流已自然偏出下游，无需人为导流；随间距，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紧凑间距更强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（2D 时几乎全部工况都偏航，8D 时大多为零）；随湍流强度，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高 TI 下减弱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（优化器识别到湍流已掺混尾流，主动导流的必要性下降，个别工况直接关闭偏航）。方向上，偏航角符号严格跟随风向符号。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6-2　偏航指令决策规律：幅值随风向（正对风最大）、间距（紧凑更强）、湍流强度（高 TI 减弱）的变化。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6.3　降功率指令决策规律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降功率主要作用于中游 T2，其深度随维度的变化（图 6-3）与偏航热区一致：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正对风最深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（超 30%），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6D 以上基本归零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</w:t>
      </w:r>
      <w:r>
        <w:rPr>
          <w:rFonts w:ascii="Microsoft YaHei" w:cs="Microsoft YaHei" w:eastAsia="Microsoft YaHei" w:hAnsi="Microsoft YaHei"/>
          <w:b/>
          <w:bCs/>
          <w:color w:val="3F7A3D"/>
          <w:sz w:val="21"/>
          <w:szCs w:val="21"/>
        </w:rPr>
        <w:t xml:space="preserve">高 TI 下略减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。逻辑是通过让上/中游少发、减轻其尾流强度，换取下游更多来流；只有在遮挡足够重（紧凑间距、正对风）时这笔"交换"才划算。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6-3　降功率指令决策规律：中游 T2 深度随风向、间距、湍流强度的变化。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6.4　决策热区对比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把两类指令的强度画成热力图（图 6-4）可直接对比其触发区域。二者热区位置高度重合——都锁定（正对风 × 紧凑间距），且都随湍流强度趋弱——但作用机组不同（偏航在上游、降功率在中游），且降功率的热区比偏航更紧缩（更快随间距归零）。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6-4　决策热区对比：偏航幅值（上，蓝）与降功率深度（下，红）在（风向×间距）与（湍流强度×风向）上的分布。热区一致，均集中于正对风×紧凑间距。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6.5　策略选用逻辑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把每个工况归类为四种情形（图 6-5 左）：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偏航+降功率、仅偏航、仅降功率、均不动作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。关键观察是</w:t>
      </w:r>
      <w:r>
        <w:rPr>
          <w:rFonts w:ascii="Microsoft YaHei" w:cs="Microsoft YaHei" w:eastAsia="Microsoft YaHei" w:hAnsi="Microsoft YaHei"/>
          <w:b/>
          <w:bCs/>
          <w:color w:val="B2182B"/>
          <w:sz w:val="21"/>
          <w:szCs w:val="21"/>
        </w:rPr>
        <w:t xml:space="preserve">"仅降功率"为零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——降功率从不单独使用，只作为紧凑间距下偏航的补充；而"均不动作"占相当比例（大间距/大偏航角工况）。图 6-5 右显示两类控制随间距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同步退出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：约 6D 以上，偏航幅值与降功率深度一起趋零。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图 6-5　策略选用逻辑：左为四种情形的工况分布（仅降功率为零），右为两类控制随间距同步退出。</w:t>
      </w:r>
    </w:p>
    <w:tbl>
      <w:tblPr>
        <w:tblW w:type="pct" w:w="79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E0E0E0" w:sz="2"/>
          <w:insideV w:val="single" w:color="E0E0E0" w:sz="2"/>
        </w:tblBorders>
      </w:tblPr>
      <w:tblGrid>
        <w:gridCol w:w="2600"/>
        <w:gridCol w:w="1700"/>
        <w:gridCol w:w="3060"/>
      </w:tblGrid>
      <w:tr>
        <w:trPr>
          <w:cantSplit/>
          <w:tblHeader/>
        </w:trPr>
        <w:tc>
          <w:tcPr>
            <w:tcW w:type="dxa" w:w="26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情形</w:t>
            </w:r>
          </w:p>
        </w:tc>
        <w:tc>
          <w:tcPr>
            <w:tcW w:type="dxa" w:w="170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工况数</w:t>
            </w:r>
          </w:p>
        </w:tc>
        <w:tc>
          <w:tcPr>
            <w:tcW w:type="dxa" w:w="3060"/>
            <w:shd w:fill="2C4A6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7B4EA8"/>
                <w:sz w:val="19"/>
                <w:szCs w:val="19"/>
              </w:rPr>
              <w:t xml:space="preserve">偏航 + 降功率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61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紧凑间距、遮挡重：两手并用</w:t>
            </w:r>
          </w:p>
        </w:tc>
      </w:tr>
      <w:tr>
        <w:trPr>
          <w:cantSplit/>
        </w:trPr>
        <w:tc>
          <w:tcPr>
            <w:tcW w:type="dxa" w:w="26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C6E9B"/>
                <w:sz w:val="19"/>
                <w:szCs w:val="19"/>
              </w:rPr>
              <w:t xml:space="preserve">仅偏航</w:t>
            </w:r>
          </w:p>
        </w:tc>
        <w:tc>
          <w:tcPr>
            <w:tcW w:type="dxa" w:w="17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28</w:t>
            </w:r>
          </w:p>
        </w:tc>
        <w:tc>
          <w:tcPr>
            <w:tcW w:type="dxa" w:w="306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中等遮挡：导流即可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仅降功率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2182B"/>
                <w:sz w:val="19"/>
                <w:szCs w:val="19"/>
              </w:rPr>
              <w:t xml:space="preserve">0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从不单独使用</w:t>
            </w:r>
          </w:p>
        </w:tc>
      </w:tr>
      <w:tr>
        <w:trPr>
          <w:cantSplit/>
        </w:trPr>
        <w:tc>
          <w:tcPr>
            <w:tcW w:type="dxa" w:w="26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B2B2B"/>
                <w:sz w:val="19"/>
                <w:szCs w:val="19"/>
              </w:rPr>
              <w:t xml:space="preserve">均不动作</w:t>
            </w:r>
          </w:p>
        </w:tc>
        <w:tc>
          <w:tcPr>
            <w:tcW w:type="dxa" w:w="170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91</w:t>
            </w:r>
          </w:p>
        </w:tc>
        <w:tc>
          <w:tcPr>
            <w:tcW w:type="dxa" w:w="3060"/>
            <w:shd w:fill="F6F8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2B2B2B"/>
                <w:sz w:val="19"/>
                <w:szCs w:val="19"/>
              </w:rPr>
              <w:t xml:space="preserve">大间距/大偏航角：控制无益</w:t>
            </w:r>
          </w:p>
        </w:tc>
      </w:tr>
    </w:tbl>
    <w:p>
      <w:pPr>
        <w:spacing w:after="18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表 6-2　策略选用分布（共 180 组湍流风工况）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</w:rPr>
        <w:t xml:space="preserve">第 7 章　结论与建议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7.1　主要结论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基准一致性随湍流强度变化（第 1 章）：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FAST.Farm 相对 FLORIS 的基准偏差随 TI 由负转正（−4.8%→+2.9%），FLORIS 在高湍流下低估尾流恢复；功率脉动 CoV 随 TI 单调增至约 20%。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控制收益存在两级落差（第 2–5 章）：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偏航全域均值 FLORIS +6.2% → 稳态 −5.6% → 湍流 −5.3%。解析→动态是主落差，定常→湍流是次落差。降功率在三套环境中始终更接近中性、更稳健。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湍流强度侵蚀控制收益（第 4 章）：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湍流风内部，偏航与降功率增益均随 TI 更趋不利（偏航 −4.2%→−6.1%，降功率 −0.4%→−3.9%）——湍流已自然掺混尾流，主动控制边际收益下降。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稳态是中等湍流的良好代理（第 5 章）：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湍流偏航增益在 TI≈0.10 处与稳态吻合，但两端分化；稳态无法反映脉动与载荷。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控制指令有清晰决策规律（第 6 章）：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偏航主用上游、降功率主用中游、下游不动作；热区集中于正对风×紧凑间距；降功率从不单独使用；约 6D 以上两类控制同步退出；指令随 TI 自适应减弱。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7.2　实践建议</w:t>
      </w:r>
    </w:p>
    <w:tbl>
      <w:tblPr>
        <w:tblW w:type="pct" w:w="100%"/>
        <w:tblBorders>
          <w:top w:val="none"/>
          <w:left w:val="single" w:color="C56A1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C56A16"/>
                <w:sz w:val="21"/>
                <w:szCs w:val="21"/>
              </w:rPr>
              <w:t xml:space="preserve">建议一 · 控制策略的现场标定应按湍流强度分档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鉴于收益随 TI 显著变化，FLORIS 寻优出的指令不应直接下发，应针对现场典型湍流强度重新标定（尤其抑制紧凑间距、正对风、高 TI 下的过度偏航）。</w:t>
            </w:r>
          </w:p>
        </w:tc>
      </w:tr>
    </w:tbl>
    <w:tbl>
      <w:tblPr>
        <w:tblW w:type="pct" w:w="100%"/>
        <w:tblBorders>
          <w:top w:val="none"/>
          <w:left w:val="single" w:color="3F7A3D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3F7A3D"/>
                <w:sz w:val="21"/>
                <w:szCs w:val="21"/>
              </w:rPr>
              <w:t xml:space="preserve">建议二 · 用稳态快速筛选、用对应 TI 湍流风定案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可用稳态 FAST.Farm 在中等湍流下快速筛选候选策略，但最终收益核算与载荷评估须以对应 TI 的湍流风结果为准。</w:t>
            </w:r>
          </w:p>
        </w:tc>
      </w:tr>
    </w:tbl>
    <w:tbl>
      <w:tblPr>
        <w:tblW w:type="pct" w:w="100%"/>
        <w:tblBorders>
          <w:top w:val="none"/>
          <w:left w:val="single" w:color="2C6E9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8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C6E9B"/>
                <w:sz w:val="21"/>
                <w:szCs w:val="21"/>
              </w:rPr>
              <w:t xml:space="preserve">建议三 · 把控制限定在其价值区间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三套环境一致表明控制价值集中于 2D–4D 紧凑间距与正对风。建议在 6D 以上、大风向偏差工况默认关闭控制，避免负收益与无谓载荷。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</w:rPr>
        <w:t xml:space="preserve">7.3　数据说明与后续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本报告基于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1,362 组仿真工况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（FLORIS 648、稳态 180、湍流 534）重新解析计算；所有 FAST.Farm 发电量均按第 0 章口径处理初始化。相比上一版，湍流风的扩充使全部对比升级为三方并新增湍流强度维度。后续可进一步：将载荷（塔基/叶根弯矩）纳入评估，把"发电增益"扩展为"发电—载荷"多目标；以及在更密的 TI 网格上刻画收益—湍流关系的连续曲线。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风电场尾流控制策略 · 三套仿真环境对比分析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C56A16" w:sz="8" w:space="6"/>
      </w:pBd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2C4A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1F3A5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2F4A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e4d06548e7b64cf7885f65e321e2517288764a.png"/><Relationship Id="rId10" Type="http://schemas.openxmlformats.org/officeDocument/2006/relationships/image" Target="media/e19e92df0606ededc1808e0f70da38a29d7454b2.png"/><Relationship Id="rId11" Type="http://schemas.openxmlformats.org/officeDocument/2006/relationships/image" Target="media/67d0d1234a8da0c835a4b63e1154f15d71fbe631.png"/><Relationship Id="rId12" Type="http://schemas.openxmlformats.org/officeDocument/2006/relationships/image" Target="media/19155b79bf846e939a6c8aceced068f8562ae13b.png"/><Relationship Id="rId13" Type="http://schemas.openxmlformats.org/officeDocument/2006/relationships/image" Target="media/c9c2bc52880d02c0c6a39aa28c8d05ad6b2fc06b.png"/><Relationship Id="rId14" Type="http://schemas.openxmlformats.org/officeDocument/2006/relationships/image" Target="media/06f6df9042323b071eeaf501854ad632a824f908.png"/><Relationship Id="rId15" Type="http://schemas.openxmlformats.org/officeDocument/2006/relationships/image" Target="media/b7d35669de0c9d6719ca9eaa034ffdcffe8fe1de.png"/><Relationship Id="rId16" Type="http://schemas.openxmlformats.org/officeDocument/2006/relationships/image" Target="media/41b4187ef5b3b19c5aea324f5f19b0dc121cc9a2.png"/><Relationship Id="rId17" Type="http://schemas.openxmlformats.org/officeDocument/2006/relationships/image" Target="media/dc00c4b2ea9b16f62bb72dfb9d2082ca87e137ac.png"/><Relationship Id="rId18" Type="http://schemas.openxmlformats.org/officeDocument/2006/relationships/image" Target="media/92acc334f2082c1d65a67e1a2231dd3d530803fa.png"/><Relationship Id="rId19" Type="http://schemas.openxmlformats.org/officeDocument/2006/relationships/image" Target="media/277dec17396d02c199175c323a519dcde6e4d9e0.png"/><Relationship Id="rId20" Type="http://schemas.openxmlformats.org/officeDocument/2006/relationships/image" Target="media/90b92ab4d6bad4fafe5b6c66035f739c5a619e2b.png"/><Relationship Id="rId21" Type="http://schemas.openxmlformats.org/officeDocument/2006/relationships/image" Target="media/6a83ea61e88a5a23ecab24d71aa1c57f46854d28.png"/><Relationship Id="rId22" Type="http://schemas.openxmlformats.org/officeDocument/2006/relationships/image" Target="media/c9a115dbaaa7068b780e7ce850ce0c6734e4114b.png"/><Relationship Id="rId23" Type="http://schemas.openxmlformats.org/officeDocument/2006/relationships/image" Target="media/55e8831efe914df4207c832fdc66b82117a97fb9.png"/><Relationship Id="rId24" Type="http://schemas.openxmlformats.org/officeDocument/2006/relationships/image" Target="media/3458fbc1bcdd09f08f947fa40e3cc5955dea5589.png"/><Relationship Id="rId25" Type="http://schemas.openxmlformats.org/officeDocument/2006/relationships/image" Target="media/6850b3fdd9312d58e23e6ee5459eccff338b484f.png"/><Relationship Id="rId26" Type="http://schemas.openxmlformats.org/officeDocument/2006/relationships/image" Target="media/c1ee5ce2f099de4d0a83453a8b93d965140859cb.png"/><Relationship Id="rId27" Type="http://schemas.openxmlformats.org/officeDocument/2006/relationships/image" Target="media/2ed4dd426f2215c576cded815ac220a52e66063d.png"/><Relationship Id="rId28" Type="http://schemas.openxmlformats.org/officeDocument/2006/relationships/image" Target="media/93da59c6b1cb05535a57bf533b831bb9997d8858.png"/><Relationship Id="rId29" Type="http://schemas.openxmlformats.org/officeDocument/2006/relationships/image" Target="media/6ff5ca43cb979bbf13ac0507ca8cb1623fb5e862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风电场尾流控制策略三套仿真环境对比分析报告</dc:title>
  <dc:creator>仿真数据分析组</dc:creator>
  <cp:lastModifiedBy>Un-named</cp:lastModifiedBy>
  <cp:revision>1</cp:revision>
  <dcterms:created xsi:type="dcterms:W3CDTF">2026-07-17T01:50:47.658Z</dcterms:created>
  <dcterms:modified xsi:type="dcterms:W3CDTF">2026-07-17T01:50:47.659Z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