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b w:val="1"/>
          <w:bCs w:val="1"/>
          <w:sz w:val="26"/>
          <w:szCs w:val="26"/>
          <w:rtl w:val="0"/>
          <w:lang w:val="en-US"/>
        </w:rPr>
        <w:t>ETF Selection Pool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US stock market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VTI</w:t>
      </w:r>
      <w:r>
        <w:rPr>
          <w:rtl w:val="0"/>
        </w:rPr>
        <w:t xml:space="preserve"> (Vanguard Total Stock Market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IWV</w:t>
      </w:r>
      <w:r>
        <w:rPr>
          <w:rtl w:val="0"/>
        </w:rPr>
        <w:t xml:space="preserve"> (iShares Russell 3000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ITOT</w:t>
      </w:r>
      <w:r>
        <w:rPr>
          <w:rtl w:val="0"/>
        </w:rPr>
        <w:t xml:space="preserve"> (iShares Core S&amp;P Total Market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SPY</w:t>
      </w:r>
      <w:r>
        <w:rPr>
          <w:rtl w:val="0"/>
        </w:rPr>
        <w:t xml:space="preserve"> (SPDR S&amp;P 500 ETF Trust)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IVV</w:t>
      </w:r>
      <w:r>
        <w:rPr>
          <w:rtl w:val="0"/>
        </w:rPr>
        <w:t xml:space="preserve"> (iShares Core S&amp;P 500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VIG</w:t>
      </w:r>
      <w:r>
        <w:rPr>
          <w:rtl w:val="0"/>
        </w:rPr>
        <w:t xml:space="preserve"> (Vanguard Dividend Appreciation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USMV</w:t>
      </w:r>
      <w:r>
        <w:rPr>
          <w:rtl w:val="0"/>
        </w:rPr>
        <w:t xml:space="preserve"> (iShares Edge MSCI Min Vol USA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SCHB</w:t>
      </w:r>
      <w:r>
        <w:rPr>
          <w:rtl w:val="0"/>
        </w:rPr>
        <w:t xml:space="preserve"> (Schwab US Broad Market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QUAL</w:t>
      </w:r>
      <w:r>
        <w:rPr>
          <w:rtl w:val="0"/>
        </w:rPr>
        <w:t xml:space="preserve"> (iShares Edge MSCI USA Quality Factor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MTUM</w:t>
      </w:r>
      <w:r>
        <w:rPr>
          <w:rtl w:val="0"/>
        </w:rPr>
        <w:t xml:space="preserve"> (iShares Edge MSCI USA Momentum Factor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DGRO</w:t>
      </w:r>
      <w:r>
        <w:rPr>
          <w:rtl w:val="0"/>
        </w:rPr>
        <w:t xml:space="preserve"> (iShares Core Dividend Growth ETF)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US bond market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AGG</w:t>
      </w:r>
      <w:r>
        <w:rPr>
          <w:rtl w:val="0"/>
        </w:rPr>
        <w:t xml:space="preserve"> (iShares Core US Aggregate Bond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BND</w:t>
      </w:r>
      <w:r>
        <w:rPr>
          <w:rtl w:val="0"/>
        </w:rPr>
        <w:t xml:space="preserve"> (Total Bond Market)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BSV</w:t>
      </w:r>
      <w:r>
        <w:rPr>
          <w:rtl w:val="0"/>
        </w:rPr>
        <w:t xml:space="preserve"> (Short-Term Bond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BIV</w:t>
      </w:r>
      <w:r>
        <w:rPr>
          <w:rtl w:val="0"/>
        </w:rPr>
        <w:t xml:space="preserve"> (Intermediate-Term Bond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SCHZ</w:t>
      </w:r>
      <w:r>
        <w:rPr>
          <w:rtl w:val="0"/>
        </w:rPr>
        <w:t xml:space="preserve"> (Schwab US Aggregate Bond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TOTL</w:t>
      </w:r>
      <w:r>
        <w:rPr>
          <w:rtl w:val="0"/>
        </w:rPr>
        <w:t xml:space="preserve"> (SPDR DoubleLine Total Return Tactical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BLV</w:t>
      </w:r>
      <w:r>
        <w:rPr>
          <w:rtl w:val="0"/>
        </w:rPr>
        <w:t xml:space="preserve"> (Long-Term Bond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BOND</w:t>
      </w:r>
      <w:r>
        <w:rPr>
          <w:rtl w:val="0"/>
        </w:rPr>
        <w:t xml:space="preserve"> (PIMCO Total Return Active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GVI</w:t>
      </w:r>
      <w:r>
        <w:rPr>
          <w:rtl w:val="0"/>
        </w:rPr>
        <w:t xml:space="preserve"> (iShares Intermediate Government/Credit Bond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FLRN</w:t>
      </w:r>
      <w:r>
        <w:rPr>
          <w:rtl w:val="0"/>
        </w:rPr>
        <w:t xml:space="preserve"> (SPDR Barclays Capital Investment Grade Floating Rate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BNDS</w:t>
      </w:r>
      <w:r>
        <w:rPr>
          <w:rtl w:val="0"/>
        </w:rPr>
        <w:t xml:space="preserve"> (SPDR Barclays Aggregate Bond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IUSB</w:t>
      </w:r>
      <w:r>
        <w:rPr>
          <w:rtl w:val="0"/>
        </w:rPr>
        <w:t xml:space="preserve"> (iShares Core Total USD Bond Market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ISTB</w:t>
      </w:r>
      <w:r>
        <w:rPr>
          <w:rtl w:val="0"/>
        </w:rPr>
        <w:t xml:space="preserve"> (iShares Core 1-5 Year USD Bond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PCEF</w:t>
      </w:r>
      <w:r>
        <w:rPr>
          <w:rtl w:val="0"/>
        </w:rPr>
        <w:t xml:space="preserve"> (PowerShares CEF Income Composite Portfolio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VBND</w:t>
      </w:r>
      <w:r>
        <w:rPr>
          <w:rtl w:val="0"/>
        </w:rPr>
        <w:t xml:space="preserve"> (Vident Core US Bond Strategy ETF)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en-US"/>
        </w:rPr>
        <w:t>ILTB</w:t>
      </w:r>
      <w:r>
        <w:rPr>
          <w:rtl w:val="0"/>
        </w:rPr>
        <w:t xml:space="preserve"> (iShares Core 10+ Year USD Bond ETF)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Global stock market </w:t>
      </w:r>
    </w:p>
    <w:p>
      <w:pPr>
        <w:pStyle w:val="Body"/>
      </w:pPr>
    </w:p>
    <w:p>
      <w:pPr>
        <w:pStyle w:val="Body"/>
        <w:numPr>
          <w:ilvl w:val="1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    Developed Markets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zh-CN" w:eastAsia="zh-CN"/>
        </w:rPr>
        <w:t>EFA</w:t>
      </w:r>
      <w:r>
        <w:rPr>
          <w:rtl w:val="0"/>
        </w:rPr>
        <w:t xml:space="preserve"> (</w:t>
      </w:r>
      <w:r>
        <w:rPr>
          <w:rtl w:val="0"/>
          <w:lang w:val="zh-CN" w:eastAsia="zh-CN"/>
        </w:rPr>
        <w:t>iShare</w:t>
      </w:r>
      <w:r>
        <w:rPr>
          <w:rtl w:val="0"/>
        </w:rPr>
        <w:t>s MSCI EAFE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VEA</w:t>
      </w:r>
      <w:r>
        <w:rPr>
          <w:rtl w:val="0"/>
        </w:rPr>
        <w:t xml:space="preserve"> (Vanguard FTSE Developed Markets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IEFA</w:t>
      </w:r>
      <w:r>
        <w:rPr>
          <w:rtl w:val="0"/>
        </w:rPr>
        <w:t xml:space="preserve"> (iShares Core MSCI EAFE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VEU</w:t>
      </w:r>
      <w:r>
        <w:rPr>
          <w:rtl w:val="0"/>
        </w:rPr>
        <w:t xml:space="preserve"> (Vanguard FTSE All-World ex-US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SCHF</w:t>
      </w:r>
      <w:r>
        <w:rPr>
          <w:rtl w:val="0"/>
        </w:rPr>
        <w:t xml:space="preserve"> (Schwab International Equity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VXUS</w:t>
      </w:r>
      <w:r>
        <w:rPr>
          <w:rtl w:val="0"/>
        </w:rPr>
        <w:t xml:space="preserve"> (Vanguard Total International Stock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DBEF</w:t>
      </w:r>
      <w:r>
        <w:rPr>
          <w:rtl w:val="0"/>
        </w:rPr>
        <w:t xml:space="preserve"> (Deutsch X-trackers MSCI EAFE Hedged Equity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EFAV</w:t>
      </w:r>
      <w:r>
        <w:rPr>
          <w:rtl w:val="0"/>
        </w:rPr>
        <w:t xml:space="preserve"> (iShares Edge MSCI Min Vol EAFE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IXUS</w:t>
      </w:r>
      <w:r>
        <w:rPr>
          <w:rtl w:val="0"/>
        </w:rPr>
        <w:t xml:space="preserve"> (iShares Core MSCI Total International Stock ETF) 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HEFA</w:t>
      </w:r>
      <w:r>
        <w:rPr>
          <w:rtl w:val="0"/>
        </w:rPr>
        <w:t xml:space="preserve"> (iShares Currency Hedged MSCI EAFE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ACWX</w:t>
      </w:r>
      <w:r>
        <w:rPr>
          <w:rtl w:val="0"/>
        </w:rPr>
        <w:t xml:space="preserve"> (iShares MSCI ACWI ex US ETF)</w:t>
      </w:r>
    </w:p>
    <w:p>
      <w:pPr>
        <w:pStyle w:val="Body"/>
        <w:bidi w:val="0"/>
      </w:pPr>
    </w:p>
    <w:p>
      <w:pPr>
        <w:pStyle w:val="Body"/>
        <w:numPr>
          <w:ilvl w:val="1"/>
          <w:numId w:val="5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    Total Market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VT</w:t>
      </w:r>
      <w:r>
        <w:rPr>
          <w:rtl w:val="0"/>
        </w:rPr>
        <w:t xml:space="preserve"> (Vanguard Total World Stock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ACWI</w:t>
      </w:r>
      <w:r>
        <w:rPr>
          <w:rtl w:val="0"/>
        </w:rPr>
        <w:t xml:space="preserve"> (iShares MSCI ACWI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ACWV</w:t>
      </w:r>
      <w:r>
        <w:rPr>
          <w:rtl w:val="0"/>
        </w:rPr>
        <w:t xml:space="preserve"> (iShares Edge MSC Min Vol Global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FV</w:t>
      </w:r>
      <w:r>
        <w:rPr>
          <w:rtl w:val="0"/>
        </w:rPr>
        <w:t xml:space="preserve"> (First Trust Dorsey Wright Focus 5 ETF)</w:t>
      </w:r>
    </w:p>
    <w:p>
      <w:pPr>
        <w:pStyle w:val="Body"/>
        <w:bidi w:val="0"/>
      </w:pPr>
    </w:p>
    <w:p>
      <w:pPr>
        <w:pStyle w:val="Body"/>
        <w:numPr>
          <w:ilvl w:val="1"/>
          <w:numId w:val="6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    Emerging Market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VWO</w:t>
      </w:r>
      <w:r>
        <w:rPr>
          <w:rtl w:val="0"/>
        </w:rPr>
        <w:t xml:space="preserve"> (Vanguard FTSE Emerging Markets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IEMG</w:t>
      </w:r>
      <w:r>
        <w:rPr>
          <w:rtl w:val="0"/>
        </w:rPr>
        <w:t xml:space="preserve"> (iShares Core MSCI Emerging Markets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EEM</w:t>
      </w:r>
      <w:r>
        <w:rPr>
          <w:rtl w:val="0"/>
        </w:rPr>
        <w:t xml:space="preserve"> (iShares MSCI Emerging Markets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SCHE</w:t>
      </w:r>
      <w:r>
        <w:rPr>
          <w:rtl w:val="0"/>
        </w:rPr>
        <w:t xml:space="preserve"> (Schwab Emerging Markets Equity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EEMV</w:t>
      </w:r>
      <w:r>
        <w:rPr>
          <w:rtl w:val="0"/>
        </w:rPr>
        <w:t xml:space="preserve"> (iShares Edge MSCI Min Vol Emerging Markets ETF)</w:t>
      </w:r>
    </w:p>
    <w:p>
      <w:pPr>
        <w:pStyle w:val="Body"/>
        <w:bidi w:val="0"/>
      </w:pPr>
    </w:p>
    <w:p>
      <w:pPr>
        <w:pStyle w:val="Body"/>
        <w:numPr>
          <w:ilvl w:val="1"/>
          <w:numId w:val="7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    Specific Country/Region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Developed Europe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VGK</w:t>
      </w:r>
      <w:r>
        <w:rPr>
          <w:rtl w:val="0"/>
        </w:rPr>
        <w:t xml:space="preserve"> (Vanguard FTSE Europe ETF)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EZU</w:t>
      </w:r>
      <w:r>
        <w:rPr>
          <w:rtl w:val="0"/>
        </w:rPr>
        <w:t xml:space="preserve"> (iShares MSCI Eurozone ETF)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HEDJ</w:t>
      </w:r>
      <w:r>
        <w:rPr>
          <w:rtl w:val="0"/>
        </w:rPr>
        <w:t xml:space="preserve"> (WisdomTree Europe Hedged Equity Fund)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IEUR</w:t>
      </w:r>
      <w:r>
        <w:rPr>
          <w:rtl w:val="0"/>
        </w:rPr>
        <w:t xml:space="preserve"> (iShares Core MSCI Europe ETF)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DBEU</w:t>
      </w:r>
      <w:r>
        <w:rPr>
          <w:rtl w:val="0"/>
        </w:rPr>
        <w:t xml:space="preserve"> (Deutsche X-trackers MSCI Europe Hedged Equity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Japan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EWJ</w:t>
      </w:r>
      <w:r>
        <w:rPr>
          <w:rtl w:val="0"/>
        </w:rPr>
        <w:t xml:space="preserve"> (iShares MSCI Japan ETF)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DXJ</w:t>
      </w:r>
      <w:r>
        <w:rPr>
          <w:rtl w:val="0"/>
        </w:rPr>
        <w:t xml:space="preserve"> (WisdomTree Japan Hedged Equity Fund)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DBJP</w:t>
      </w:r>
      <w:r>
        <w:rPr>
          <w:rtl w:val="0"/>
        </w:rPr>
        <w:t xml:space="preserve"> (Deutsche X-trackers MSCI Japan Hedged Equity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Brazil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EWZ</w:t>
      </w:r>
      <w:r>
        <w:rPr>
          <w:rtl w:val="0"/>
        </w:rPr>
        <w:t xml:space="preserve"> (iShares MSCI Brazil Capped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India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INDA</w:t>
      </w:r>
      <w:r>
        <w:rPr>
          <w:rtl w:val="0"/>
        </w:rPr>
        <w:t xml:space="preserve"> (iShares MSCI India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Germany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EWG</w:t>
      </w:r>
      <w:r>
        <w:rPr>
          <w:rtl w:val="0"/>
        </w:rPr>
        <w:t xml:space="preserve"> (iShares MSCI Germany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Asia-Pacific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AAXJ</w:t>
      </w:r>
      <w:r>
        <w:rPr>
          <w:rtl w:val="0"/>
        </w:rPr>
        <w:t xml:space="preserve"> (iShares MSCI All Country Asia ex Japan ETF)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VPL</w:t>
      </w:r>
      <w:r>
        <w:rPr>
          <w:rtl w:val="0"/>
        </w:rPr>
        <w:t xml:space="preserve"> (Vanguard FTSE Pacific ETF) 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EPP</w:t>
      </w:r>
      <w:r>
        <w:rPr>
          <w:rtl w:val="0"/>
        </w:rPr>
        <w:t xml:space="preserve"> (iShares MSCI Pacific ex-Japan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South Korea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EWY</w:t>
      </w:r>
      <w:r>
        <w:rPr>
          <w:rtl w:val="0"/>
        </w:rPr>
        <w:t xml:space="preserve"> (iShares MSCI South Korea Capped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Taiwan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EWT</w:t>
      </w:r>
      <w:r>
        <w:rPr>
          <w:rtl w:val="0"/>
        </w:rPr>
        <w:t xml:space="preserve"> (iShares MSCI Taiwan Capped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Canada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EWC</w:t>
      </w:r>
      <w:r>
        <w:rPr>
          <w:rtl w:val="0"/>
        </w:rPr>
        <w:t xml:space="preserve"> (iShares MSCI Canada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UK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EWU</w:t>
      </w:r>
      <w:r>
        <w:rPr>
          <w:rtl w:val="0"/>
        </w:rPr>
        <w:t xml:space="preserve"> (iShares MSCI United Kingdom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China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MCHI</w:t>
      </w:r>
      <w:r>
        <w:rPr>
          <w:rtl w:val="0"/>
        </w:rPr>
        <w:t xml:space="preserve"> (iShares MSCI China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Russia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RSX</w:t>
      </w:r>
      <w:r>
        <w:rPr>
          <w:rtl w:val="0"/>
        </w:rPr>
        <w:t xml:space="preserve"> (VanEck Vectors Russia ETF)</w:t>
      </w:r>
    </w:p>
    <w:p>
      <w:pPr>
        <w:pStyle w:val="Body"/>
        <w:numPr>
          <w:ilvl w:val="2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Hong Kong</w:t>
      </w:r>
    </w:p>
    <w:p>
      <w:pPr>
        <w:pStyle w:val="Body"/>
        <w:numPr>
          <w:ilvl w:val="3"/>
          <w:numId w:val="8"/>
        </w:numPr>
        <w:bidi w:val="0"/>
      </w:pPr>
      <w:r>
        <w:rPr>
          <w:b w:val="1"/>
          <w:bCs w:val="1"/>
          <w:rtl w:val="0"/>
          <w:lang w:val="en-US"/>
        </w:rPr>
        <w:t>EWH</w:t>
      </w:r>
      <w:r>
        <w:rPr>
          <w:rtl w:val="0"/>
        </w:rPr>
        <w:t xml:space="preserve"> (iShares MSCI Hong Kong ETF)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Global bond market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BNDX</w:t>
      </w:r>
      <w:r>
        <w:rPr>
          <w:rtl w:val="0"/>
        </w:rPr>
        <w:t xml:space="preserve"> (Total International Bond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BWX</w:t>
      </w:r>
      <w:r>
        <w:rPr>
          <w:rtl w:val="0"/>
        </w:rPr>
        <w:t xml:space="preserve"> (SPDR Barclays Intl Treasury Bond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WIP</w:t>
      </w:r>
      <w:r>
        <w:rPr>
          <w:rtl w:val="0"/>
        </w:rPr>
        <w:t xml:space="preserve"> (SPDR Citi International Government Inflation-Protected Bond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BWZ</w:t>
      </w:r>
      <w:r>
        <w:rPr>
          <w:rtl w:val="0"/>
        </w:rPr>
        <w:t xml:space="preserve"> (SPDR Barclays Capital Short Term International Treasury Bond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PICB</w:t>
      </w:r>
      <w:r>
        <w:rPr>
          <w:rtl w:val="0"/>
        </w:rPr>
        <w:t xml:space="preserve"> (PowerShares International Corporate Bond Portfolio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IBND</w:t>
      </w:r>
      <w:r>
        <w:rPr>
          <w:rtl w:val="0"/>
        </w:rPr>
        <w:t xml:space="preserve"> (SPDR Barclays Capital International Corporate Bond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IHY</w:t>
      </w:r>
      <w:r>
        <w:rPr>
          <w:rtl w:val="0"/>
        </w:rPr>
        <w:t xml:space="preserve"> (VanEck Vectors International High Yield Bond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ISHG</w:t>
      </w:r>
      <w:r>
        <w:rPr>
          <w:rtl w:val="0"/>
        </w:rPr>
        <w:t xml:space="preserve"> (iShares 1-3 Year International Treasury Bond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HYXU</w:t>
      </w:r>
      <w:r>
        <w:rPr>
          <w:rtl w:val="0"/>
        </w:rPr>
        <w:t xml:space="preserve"> (iShares International High Yield Bond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HHYX</w:t>
      </w:r>
      <w:r>
        <w:rPr>
          <w:rtl w:val="0"/>
        </w:rPr>
        <w:t xml:space="preserve"> (iShares Currency Hedged International High Yield Bond ETF)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Currency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UUP</w:t>
      </w:r>
      <w:r>
        <w:rPr>
          <w:rtl w:val="0"/>
        </w:rPr>
        <w:t xml:space="preserve"> (PowerShares DB </w:t>
      </w:r>
      <w:r>
        <w:rPr>
          <w:b w:val="1"/>
          <w:bCs w:val="1"/>
          <w:rtl w:val="0"/>
          <w:lang w:val="en-US"/>
        </w:rPr>
        <w:t>US Dollar</w:t>
      </w:r>
      <w:r>
        <w:rPr>
          <w:rtl w:val="0"/>
        </w:rPr>
        <w:t xml:space="preserve"> Index Bullish Fund)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FXE</w:t>
      </w:r>
      <w:r>
        <w:rPr>
          <w:rtl w:val="0"/>
        </w:rPr>
        <w:t xml:space="preserve"> (Guggenheim CurrencyShares </w:t>
      </w:r>
      <w:r>
        <w:rPr>
          <w:b w:val="1"/>
          <w:bCs w:val="1"/>
          <w:rtl w:val="0"/>
          <w:lang w:val="en-US"/>
        </w:rPr>
        <w:t>Euro</w:t>
      </w:r>
      <w:r>
        <w:rPr>
          <w:rtl w:val="0"/>
        </w:rPr>
        <w:t xml:space="preserve"> Trust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FXB</w:t>
      </w:r>
      <w:r>
        <w:rPr>
          <w:rtl w:val="0"/>
        </w:rPr>
        <w:t xml:space="preserve"> (Guggenheim CurrencyShares </w:t>
      </w:r>
      <w:r>
        <w:rPr>
          <w:b w:val="1"/>
          <w:bCs w:val="1"/>
          <w:rtl w:val="0"/>
          <w:lang w:val="en-US"/>
        </w:rPr>
        <w:t>British Pound Sterling</w:t>
      </w:r>
      <w:r>
        <w:rPr>
          <w:rtl w:val="0"/>
        </w:rPr>
        <w:t xml:space="preserve"> Trust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EUO</w:t>
      </w:r>
      <w:r>
        <w:rPr>
          <w:rtl w:val="0"/>
        </w:rPr>
        <w:t xml:space="preserve"> (UltraShort </w:t>
      </w:r>
      <w:r>
        <w:rPr>
          <w:b w:val="1"/>
          <w:bCs w:val="1"/>
          <w:rtl w:val="0"/>
          <w:lang w:val="en-US"/>
        </w:rPr>
        <w:t>Euro</w:t>
      </w:r>
      <w:r>
        <w:rPr>
          <w:rtl w:val="0"/>
        </w:rPr>
        <w:t xml:space="preserve">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FXC</w:t>
      </w:r>
      <w:r>
        <w:rPr>
          <w:rtl w:val="0"/>
        </w:rPr>
        <w:t xml:space="preserve"> (Guggenheim CurrencyShares </w:t>
      </w:r>
      <w:r>
        <w:rPr>
          <w:b w:val="1"/>
          <w:bCs w:val="1"/>
          <w:rtl w:val="0"/>
          <w:lang w:val="en-US"/>
        </w:rPr>
        <w:t>Canadian Dollar</w:t>
      </w:r>
      <w:r>
        <w:rPr>
          <w:rtl w:val="0"/>
        </w:rPr>
        <w:t xml:space="preserve"> Trust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FXA</w:t>
      </w:r>
      <w:r>
        <w:rPr>
          <w:rtl w:val="0"/>
        </w:rPr>
        <w:t xml:space="preserve"> (Guggenheim CurrencyShares </w:t>
      </w:r>
      <w:r>
        <w:rPr>
          <w:b w:val="1"/>
          <w:bCs w:val="1"/>
          <w:rtl w:val="0"/>
          <w:lang w:val="en-US"/>
        </w:rPr>
        <w:t>Australian Dollar</w:t>
      </w:r>
      <w:r>
        <w:rPr>
          <w:rtl w:val="0"/>
        </w:rPr>
        <w:t xml:space="preserve"> Trust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YCS</w:t>
      </w:r>
      <w:r>
        <w:rPr>
          <w:rtl w:val="0"/>
        </w:rPr>
        <w:t xml:space="preserve"> (UltraShort </w:t>
      </w:r>
      <w:r>
        <w:rPr>
          <w:b w:val="1"/>
          <w:bCs w:val="1"/>
          <w:rtl w:val="0"/>
          <w:lang w:val="en-US"/>
        </w:rPr>
        <w:t>Yen</w:t>
      </w:r>
      <w:r>
        <w:rPr>
          <w:rtl w:val="0"/>
        </w:rPr>
        <w:t xml:space="preserve">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FXF</w:t>
      </w:r>
      <w:r>
        <w:rPr>
          <w:rtl w:val="0"/>
        </w:rPr>
        <w:t xml:space="preserve"> (Guggenheim CurrencyShares </w:t>
      </w:r>
      <w:r>
        <w:rPr>
          <w:b w:val="1"/>
          <w:bCs w:val="1"/>
          <w:rtl w:val="0"/>
          <w:lang w:val="en-US"/>
        </w:rPr>
        <w:t>Swiss Franc</w:t>
      </w:r>
      <w:r>
        <w:rPr>
          <w:rtl w:val="0"/>
        </w:rPr>
        <w:t xml:space="preserve"> Trust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USDU</w:t>
      </w:r>
      <w:r>
        <w:rPr>
          <w:rtl w:val="0"/>
        </w:rPr>
        <w:t xml:space="preserve"> (WisdomTree Bloomberg </w:t>
      </w:r>
      <w:r>
        <w:rPr>
          <w:b w:val="1"/>
          <w:bCs w:val="1"/>
          <w:rtl w:val="0"/>
          <w:lang w:val="en-US"/>
        </w:rPr>
        <w:t>US Dollar</w:t>
      </w:r>
      <w:r>
        <w:rPr>
          <w:rtl w:val="0"/>
        </w:rPr>
        <w:t xml:space="preserve"> Bullish Fund)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FXY</w:t>
      </w:r>
      <w:r>
        <w:rPr>
          <w:rtl w:val="0"/>
        </w:rPr>
        <w:t xml:space="preserve"> (Guggenheim CurrencyShares </w:t>
      </w:r>
      <w:r>
        <w:rPr>
          <w:b w:val="1"/>
          <w:bCs w:val="1"/>
          <w:rtl w:val="0"/>
          <w:lang w:val="en-US"/>
        </w:rPr>
        <w:t>Japanese Yen</w:t>
      </w:r>
      <w:r>
        <w:rPr>
          <w:rtl w:val="0"/>
        </w:rPr>
        <w:t xml:space="preserve"> Trust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CEW</w:t>
      </w:r>
      <w:r>
        <w:rPr>
          <w:rtl w:val="0"/>
        </w:rPr>
        <w:t xml:space="preserve"> (WisdomTree </w:t>
      </w:r>
      <w:r>
        <w:rPr>
          <w:b w:val="1"/>
          <w:bCs w:val="1"/>
          <w:rtl w:val="0"/>
          <w:lang w:val="en-US"/>
        </w:rPr>
        <w:t>Emerging Currency</w:t>
      </w:r>
      <w:r>
        <w:rPr>
          <w:rtl w:val="0"/>
        </w:rPr>
        <w:t xml:space="preserve"> Strategy Fund)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DBV</w:t>
      </w:r>
      <w:r>
        <w:rPr>
          <w:rtl w:val="0"/>
        </w:rPr>
        <w:t xml:space="preserve"> (PowerShares DB </w:t>
      </w:r>
      <w:r>
        <w:rPr>
          <w:b w:val="1"/>
          <w:bCs w:val="1"/>
          <w:rtl w:val="0"/>
          <w:lang w:val="en-US"/>
        </w:rPr>
        <w:t>G10 Currency</w:t>
      </w:r>
      <w:r>
        <w:rPr>
          <w:rtl w:val="0"/>
        </w:rPr>
        <w:t xml:space="preserve"> Harvest Fund)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UDN</w:t>
      </w:r>
      <w:r>
        <w:rPr>
          <w:rtl w:val="0"/>
        </w:rPr>
        <w:t xml:space="preserve"> (PowerShares DB </w:t>
      </w:r>
      <w:r>
        <w:rPr>
          <w:b w:val="1"/>
          <w:bCs w:val="1"/>
          <w:rtl w:val="0"/>
          <w:lang w:val="en-US"/>
        </w:rPr>
        <w:t>US Dollar</w:t>
      </w:r>
      <w:r>
        <w:rPr>
          <w:rtl w:val="0"/>
        </w:rPr>
        <w:t xml:space="preserve"> Index Bearish Fund)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CYB</w:t>
      </w:r>
      <w:r>
        <w:rPr>
          <w:rtl w:val="0"/>
        </w:rPr>
        <w:t xml:space="preserve"> (WisdomTree </w:t>
      </w:r>
      <w:r>
        <w:rPr>
          <w:b w:val="1"/>
          <w:bCs w:val="1"/>
          <w:rtl w:val="0"/>
          <w:lang w:val="en-US"/>
        </w:rPr>
        <w:t>Chinese Yuan</w:t>
      </w:r>
      <w:r>
        <w:rPr>
          <w:rtl w:val="0"/>
        </w:rPr>
        <w:t xml:space="preserve"> Strategy Fund)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FXS</w:t>
      </w:r>
      <w:r>
        <w:rPr>
          <w:rtl w:val="0"/>
        </w:rPr>
        <w:t xml:space="preserve"> (Guggenheim CurrencyShares </w:t>
      </w:r>
      <w:r>
        <w:rPr>
          <w:b w:val="1"/>
          <w:bCs w:val="1"/>
          <w:rtl w:val="0"/>
          <w:lang w:val="en-US"/>
        </w:rPr>
        <w:t>Swedish Krona</w:t>
      </w:r>
      <w:r>
        <w:rPr>
          <w:rtl w:val="0"/>
        </w:rPr>
        <w:t xml:space="preserve"> Trust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BZF</w:t>
      </w:r>
      <w:r>
        <w:rPr>
          <w:rtl w:val="0"/>
        </w:rPr>
        <w:t xml:space="preserve"> (WisdomTree </w:t>
      </w:r>
      <w:r>
        <w:rPr>
          <w:b w:val="1"/>
          <w:bCs w:val="1"/>
          <w:rtl w:val="0"/>
          <w:lang w:val="en-US"/>
        </w:rPr>
        <w:t>Brazilian Real</w:t>
      </w:r>
      <w:r>
        <w:rPr>
          <w:rtl w:val="0"/>
        </w:rPr>
        <w:t xml:space="preserve"> Strategy Fund)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Commodity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DBC</w:t>
      </w:r>
      <w:r>
        <w:rPr>
          <w:rtl w:val="0"/>
        </w:rPr>
        <w:t xml:space="preserve"> (PowerShares DB Commodity Index Tracking Fund)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GSG</w:t>
      </w:r>
      <w:r>
        <w:rPr>
          <w:rtl w:val="0"/>
        </w:rPr>
        <w:t xml:space="preserve"> (iShares S&amp;P GSCI Commodity-Indexed Trust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DJP</w:t>
      </w:r>
      <w:r>
        <w:rPr>
          <w:rtl w:val="0"/>
        </w:rPr>
        <w:t xml:space="preserve"> (iPath Bloomberg Commodity Index Total Return ETN)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USCI</w:t>
      </w:r>
      <w:r>
        <w:rPr>
          <w:rtl w:val="0"/>
        </w:rPr>
        <w:t xml:space="preserve"> (United States Commodity Index Fund)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PDBC</w:t>
      </w:r>
      <w:r>
        <w:rPr>
          <w:rtl w:val="0"/>
        </w:rPr>
        <w:t xml:space="preserve"> (PowerShares DB Optimum Yield Diversified Commodity Strategy Portfolio ETF)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COMT</w:t>
      </w:r>
      <w:r>
        <w:rPr>
          <w:rtl w:val="0"/>
        </w:rPr>
        <w:t xml:space="preserve"> (iShares Commodities Select Strategy)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RJI</w:t>
      </w:r>
      <w:r>
        <w:rPr>
          <w:rtl w:val="0"/>
        </w:rPr>
        <w:t xml:space="preserve"> (ELEMENT Linked to the Rogers International Commodity Index - Total Return ETN)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GCC</w:t>
      </w:r>
      <w:r>
        <w:rPr>
          <w:rtl w:val="0"/>
        </w:rPr>
        <w:t xml:space="preserve"> (WisdomTree Continuous Commodity Index)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FTGC</w:t>
      </w:r>
      <w:r>
        <w:rPr>
          <w:rtl w:val="0"/>
        </w:rPr>
        <w:t xml:space="preserve"> (First Trust Global Tactical Commodity Strategy Fund)</w:t>
      </w:r>
    </w:p>
    <w:p>
      <w:pPr>
        <w:pStyle w:val="Body"/>
        <w:numPr>
          <w:ilvl w:val="2"/>
          <w:numId w:val="4"/>
        </w:numPr>
        <w:bidi w:val="0"/>
      </w:pPr>
      <w:r>
        <w:rPr>
          <w:b w:val="1"/>
          <w:bCs w:val="1"/>
          <w:rtl w:val="0"/>
          <w:lang w:val="en-US"/>
        </w:rPr>
        <w:t>GSC</w:t>
      </w:r>
      <w:r>
        <w:rPr>
          <w:rtl w:val="0"/>
        </w:rPr>
        <w:t xml:space="preserve"> (GS Connect S&amp;P GSCI Enh Commodity TR ETN)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