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9A3E0" w14:textId="77777777" w:rsidR="00000000" w:rsidRDefault="00000000">
      <w:pPr>
        <w:pStyle w:val="del1starts"/>
      </w:pPr>
      <w:r>
        <w:t>[start tittel][start del]</w:t>
      </w:r>
    </w:p>
    <w:p w14:paraId="5400A2BD" w14:textId="77777777" w:rsidR="00000000" w:rsidRDefault="00000000">
      <w:pPr>
        <w:pStyle w:val="del1nums"/>
      </w:pPr>
      <w:r>
        <w:t>Del 3</w:t>
      </w:r>
    </w:p>
    <w:p w14:paraId="377008BF" w14:textId="77777777" w:rsidR="00000000" w:rsidRDefault="00000000">
      <w:pPr>
        <w:pStyle w:val="del1titts"/>
      </w:pPr>
      <w:r>
        <w:t>Liste over farlig gods, spesielle bestemmelser og unntak relatert til begrensede og unntatte mengder</w:t>
      </w:r>
    </w:p>
    <w:p w14:paraId="600C6A4A" w14:textId="77777777" w:rsidR="00000000" w:rsidRDefault="00000000">
      <w:pPr>
        <w:pStyle w:val="kap1starts"/>
      </w:pPr>
      <w:r>
        <w:t>[start kap]</w:t>
      </w:r>
    </w:p>
    <w:p w14:paraId="57569018" w14:textId="77777777" w:rsidR="00000000" w:rsidRDefault="00000000">
      <w:pPr>
        <w:pStyle w:val="kap1nums"/>
      </w:pPr>
      <w:r>
        <w:t>Kapittel 3.1</w:t>
      </w:r>
    </w:p>
    <w:p w14:paraId="2EE2C22F" w14:textId="77777777" w:rsidR="00000000" w:rsidRDefault="00000000">
      <w:pPr>
        <w:pStyle w:val="kap1titts"/>
      </w:pPr>
      <w:r>
        <w:t>Generelt</w:t>
      </w:r>
    </w:p>
    <w:p w14:paraId="4C405A44" w14:textId="77777777" w:rsidR="00000000" w:rsidRDefault="00000000">
      <w:pPr>
        <w:pStyle w:val="m2tnt"/>
      </w:pPr>
      <w:r>
        <w:t>3.1.1</w:t>
      </w:r>
      <w:r>
        <w:tab/>
        <w:t>Innledning</w:t>
      </w:r>
    </w:p>
    <w:p w14:paraId="5BD3D0B2" w14:textId="77777777" w:rsidR="00000000" w:rsidRDefault="00000000">
      <w:pPr>
        <w:pStyle w:val="b1af-f"/>
      </w:pPr>
      <w:r>
        <w:t>I tillegg til de bestemmelsene som er vist til eller gitt i tabellene i denne delen, gjelder de alminnelige bestemmelsene i de enkelte deler og kapitler. Disse alminnelige bestemmelser er ikke gitt i tabellene. Når en alminnelig bestemmelse står i motsetning til en spesiell bestemmelse, skal den spesielle bestemmelsen gjelde.</w:t>
      </w:r>
    </w:p>
    <w:p w14:paraId="67FA2F61" w14:textId="77777777" w:rsidR="00000000" w:rsidRDefault="00000000">
      <w:pPr>
        <w:pStyle w:val="m2tnt"/>
      </w:pPr>
      <w:r>
        <w:t>3.1.2</w:t>
      </w:r>
      <w:r>
        <w:tab/>
        <w:t>Varenavn</w:t>
      </w:r>
    </w:p>
    <w:p w14:paraId="03F8799A" w14:textId="77777777" w:rsidR="00000000" w:rsidRDefault="00000000">
      <w:pPr>
        <w:pStyle w:val="b1af-f"/>
      </w:pPr>
      <w:r>
        <w:rPr>
          <w:rStyle w:val="LS2Fet"/>
        </w:rPr>
        <w:t xml:space="preserve">ANM: </w:t>
      </w:r>
      <w:r>
        <w:t>For varenavn til bruk ved transport av prøver, se 2.1.4.1.</w:t>
      </w:r>
    </w:p>
    <w:p w14:paraId="6E5DC8DB" w14:textId="77777777" w:rsidR="00000000" w:rsidRDefault="00000000">
      <w:pPr>
        <w:pStyle w:val="m3tntnrimarg"/>
      </w:pPr>
      <w:r>
        <w:t>3.1.2.1</w:t>
      </w:r>
    </w:p>
    <w:p w14:paraId="1EEF7771" w14:textId="77777777" w:rsidR="00000000" w:rsidRDefault="00000000">
      <w:pPr>
        <w:pStyle w:val="b1af-f"/>
      </w:pPr>
      <w:r>
        <w:t xml:space="preserve">Varenavnet skal være den betegnelsen som står med store bokstaver i tabell A i kapittel 3.2 som mest nøyaktig beskriver godset (med tillegg av eventuelle tall, greske bokstaver, ‘sec’, ‘tert’ eller bokstavene m, n, o eller p når de utgjør en integrert del av navnet). Et alternativt varenavn kan vises i parentes etter varenavnet, f.eks. ETANOL (ETYLALKOHOL). Deler av en posisjon som står med små bokstaver behøver ikke å betraktes som del av varenavnet. </w:t>
      </w:r>
    </w:p>
    <w:p w14:paraId="63C5E385" w14:textId="77777777" w:rsidR="00000000" w:rsidRDefault="00000000">
      <w:pPr>
        <w:pStyle w:val="m3tntnrimarg"/>
      </w:pPr>
      <w:r>
        <w:t>3.1.2.2</w:t>
      </w:r>
    </w:p>
    <w:p w14:paraId="39B64B5F" w14:textId="77777777" w:rsidR="00000000" w:rsidRDefault="00000000">
      <w:pPr>
        <w:pStyle w:val="b1af-f"/>
      </w:pPr>
      <w:r>
        <w:t>Når en kombinasjon av flere forskjellige varenavn er oppført under et enkelt UN nummer, og disse er adskilt av «eller» med små bokstaver, eller med kommaer som skilletegn, skal bare det mest passende angis i transportdokumentet og emballasjemerkingen.</w:t>
      </w:r>
    </w:p>
    <w:p w14:paraId="21763E20" w14:textId="77777777" w:rsidR="00000000" w:rsidRDefault="00000000">
      <w:pPr>
        <w:pStyle w:val="b1af"/>
      </w:pPr>
      <w:r>
        <w:t>Eksempler som viser valg av varenavn for slike posisjoner er:</w:t>
      </w:r>
    </w:p>
    <w:p w14:paraId="503A1775" w14:textId="77777777" w:rsidR="00000000" w:rsidRDefault="00000000">
      <w:pPr>
        <w:pStyle w:val="b1lf"/>
      </w:pPr>
      <w:r>
        <w:t>a)</w:t>
      </w:r>
      <w:r>
        <w:tab/>
        <w:t>UN 1057 LIGHTER eller LIGHTER REFILLER Varenavnet er det som passer best av følgende mulige kombinasjoner:</w:t>
      </w:r>
    </w:p>
    <w:p w14:paraId="5FA2C86E" w14:textId="77777777" w:rsidR="00000000" w:rsidRDefault="00000000">
      <w:pPr>
        <w:pStyle w:val="b2lff"/>
      </w:pPr>
      <w:r>
        <w:t>LIGHTERE</w:t>
      </w:r>
    </w:p>
    <w:p w14:paraId="02F01781" w14:textId="77777777" w:rsidR="00000000" w:rsidRDefault="00000000">
      <w:pPr>
        <w:pStyle w:val="b2lf"/>
      </w:pPr>
      <w:r>
        <w:t>LIGHTER REFILLER;</w:t>
      </w:r>
    </w:p>
    <w:p w14:paraId="4FC266C9" w14:textId="77777777" w:rsidR="00000000" w:rsidRDefault="00000000">
      <w:pPr>
        <w:pStyle w:val="b1lff"/>
      </w:pPr>
      <w:r>
        <w:t>b)</w:t>
      </w:r>
      <w:r>
        <w:tab/>
        <w:t>UN 2793 JERNHOLDIG METALLSPON i selvopphetende form skal som varenavn hete JERNHOLDIG METALLSPON.</w:t>
      </w:r>
    </w:p>
    <w:p w14:paraId="6FEE0C54" w14:textId="77777777" w:rsidR="00000000" w:rsidRDefault="00000000">
      <w:pPr>
        <w:pStyle w:val="m3tntnrimarg"/>
      </w:pPr>
      <w:r>
        <w:t>3.1.2.3</w:t>
      </w:r>
    </w:p>
    <w:p w14:paraId="1A5BE529" w14:textId="77777777" w:rsidR="00000000" w:rsidRDefault="00000000">
      <w:pPr>
        <w:pStyle w:val="b1af-f"/>
      </w:pPr>
      <w:r>
        <w:t>Varenavnet kan stå i entall eller flertall etter som det passer. Dessuten er rekkefølgen for beskrivende ord som inngår i varenavnet, valgfri i dokumentasjon eller merker på kolli. For eksempel kan «Dimetylaminløsning» alternativt vises som «Løsning av dimetylamin». Handelsnavn eller militære betegnelser som består av varenavnet supplert med ytterligere beskrivende tekst, får benyttes for gods av klasse 1.</w:t>
      </w:r>
    </w:p>
    <w:p w14:paraId="527305EC" w14:textId="77777777" w:rsidR="00000000" w:rsidRDefault="00000000">
      <w:pPr>
        <w:pStyle w:val="m3tntnrimarg"/>
      </w:pPr>
      <w:r>
        <w:t>3.1.2.4</w:t>
      </w:r>
    </w:p>
    <w:p w14:paraId="21B71922" w14:textId="77777777" w:rsidR="00000000" w:rsidRDefault="00000000">
      <w:pPr>
        <w:pStyle w:val="b1af-f"/>
      </w:pPr>
      <w:r>
        <w:t>Mange stoffer har en posisjon både for dets faste og flytende form (se definisjon for fast og flytende i 1.2.1) eller for fast form og løsning. Disse er gitt separate UN nr. som ikke nødvendigvis er plassert ved siden av hverandre</w:t>
      </w:r>
      <w:r>
        <w:rPr>
          <w:rFonts w:cstheme="minorBidi"/>
          <w:color w:val="auto"/>
          <w:sz w:val="24"/>
          <w:szCs w:val="24"/>
          <w:lang w:val="en-GB"/>
        </w:rPr>
        <w:footnoteReference w:id="1"/>
      </w:r>
      <w:r>
        <w:t>.</w:t>
      </w:r>
    </w:p>
    <w:p w14:paraId="084C047F" w14:textId="77777777" w:rsidR="00000000" w:rsidRDefault="00000000">
      <w:pPr>
        <w:pStyle w:val="m3tntnrimarg"/>
      </w:pPr>
      <w:r>
        <w:t>3.1.2.5</w:t>
      </w:r>
    </w:p>
    <w:p w14:paraId="67553920" w14:textId="77777777" w:rsidR="00000000" w:rsidRDefault="00000000">
      <w:pPr>
        <w:pStyle w:val="b1af-f"/>
      </w:pPr>
      <w:r>
        <w:t>Med mindre det allerede står med store bokstaver som del av navnet i tabell A i kapittel 3.2, skal beskrivelsen «SMELTET» tilføyes som del av varenavnet når et stoff som er fast stoff i henhold til definisjonen i 1.2.1, leveres for transport i smeltet tilstand (f.eks. ALKYLFENOL I FAST FORM, N.O.S., SMELTET).</w:t>
      </w:r>
    </w:p>
    <w:p w14:paraId="4B7D7B48" w14:textId="77777777" w:rsidR="00000000" w:rsidRDefault="00000000">
      <w:pPr>
        <w:pStyle w:val="m3tntnrimarg"/>
      </w:pPr>
      <w:r>
        <w:t>3.1.2.6</w:t>
      </w:r>
    </w:p>
    <w:p w14:paraId="27EF6042" w14:textId="77777777" w:rsidR="00000000" w:rsidRDefault="00000000">
      <w:pPr>
        <w:pStyle w:val="b1af-f"/>
      </w:pPr>
      <w:r>
        <w:t>Med unntak for selvreaktive stoffer og organiske peroksider, eller når det allerede er oppført med store bokstaver under navnet oppført i kolonne (2) i Tabell A i kapittel 3.2, skal ordet «STABILISERT» legges til i varenavnet for stoffer som ville ha vært forbudt transportert uten stabilisering i henhold til 2.2.x.2 på grunn av stoffets tilbøyelighet til farlige reaksjoner under forhold som normalt vil kunne oppstå under transporten (f.eks. «GIFTIG VÆSKE, ORGANISK, N.O.S., STABILISERT»).</w:t>
      </w:r>
    </w:p>
    <w:p w14:paraId="254C9B6B" w14:textId="77777777" w:rsidR="00000000" w:rsidRDefault="00000000">
      <w:pPr>
        <w:pStyle w:val="b1af"/>
      </w:pPr>
      <w:r>
        <w:t>Når temperaturkontroll benyttes som stabilisering av slike stoffer for å unngå farlige trykkoppbygging, eller utvikling av utilbørlig varme, eller når kjemisk stabilisering blir brukt sammen med temperaturkontroll, gjelder følgende:</w:t>
      </w:r>
    </w:p>
    <w:p w14:paraId="06F330BD" w14:textId="77777777" w:rsidR="00000000" w:rsidRDefault="00000000">
      <w:pPr>
        <w:pStyle w:val="b1lfADR"/>
      </w:pPr>
      <w:r>
        <w:t>a)</w:t>
      </w:r>
      <w:r>
        <w:tab/>
        <w:t>ADR: For væsker og faste stoffer hvor SAPT</w:t>
      </w:r>
      <w:r>
        <w:rPr>
          <w:rFonts w:ascii="Minion Pro" w:hAnsi="Minion Pro" w:cstheme="minorBidi"/>
          <w:color w:val="auto"/>
          <w:sz w:val="24"/>
          <w:szCs w:val="24"/>
          <w:lang w:val="en-GB"/>
        </w:rPr>
        <w:footnoteReference w:id="2"/>
      </w:r>
      <w:r>
        <w:t xml:space="preserve"> (beregnet med eller uten inhibitor, når kjemisk stabilisering blir anvendt) er mindre enn eller lik den som blir foreskrevet i 2.2.41.1.21, gjelder bestemmelsene i 2.2.41.1.17, spesiell bestemmelse 386 i kapittel 3.3, 7.1.7, spesiell bestemmelse V8 i kapittel 7.2, spesiell bestemmelse S4 i kapittel 8.5 og kravene i kapittel 9.6, bortsett fra at betegnelsen «SADT» som blir brukt i disse paragrafene skal forstås som å også inkludere «SAPT» når det aktuelle stoffet reagerer med polymerisering.</w:t>
      </w:r>
    </w:p>
    <w:p w14:paraId="3AA18679" w14:textId="77777777" w:rsidR="00000000" w:rsidRDefault="00000000">
      <w:pPr>
        <w:pStyle w:val="b2afRID"/>
        <w:rPr>
          <w:rStyle w:val="LS2Fet"/>
          <w:b/>
          <w:bCs/>
        </w:rPr>
      </w:pPr>
      <w:r>
        <w:rPr>
          <w:rStyle w:val="LS2Fet"/>
          <w:b/>
          <w:bCs/>
        </w:rPr>
        <w:t>RID: For væsker og faste stoffer: væsker og faste stoffer som krever temperaturkontroll</w:t>
      </w:r>
      <w:r>
        <w:rPr>
          <w:rFonts w:cstheme="minorBidi"/>
          <w:b w:val="0"/>
          <w:bCs w:val="0"/>
          <w:color w:val="auto"/>
          <w:sz w:val="24"/>
          <w:szCs w:val="24"/>
          <w:lang w:val="en-GB"/>
        </w:rPr>
        <w:footnoteReference w:id="3"/>
      </w:r>
      <w:r>
        <w:rPr>
          <w:rStyle w:val="LS2Fet"/>
          <w:b/>
          <w:bCs/>
        </w:rPr>
        <w:t xml:space="preserve"> skal ikke godtas for transport med jernbane.</w:t>
      </w:r>
    </w:p>
    <w:p w14:paraId="61B09231" w14:textId="77777777" w:rsidR="00000000" w:rsidRDefault="00000000">
      <w:pPr>
        <w:pStyle w:val="b1lffADR"/>
      </w:pPr>
      <w:r>
        <w:t>b)</w:t>
      </w:r>
      <w:r>
        <w:tab/>
        <w:t>ADR: Ordene «UNDER TEMPERATURKONTROLL» skal tilføyes som en del av varenavnet, dersom dette ikke allerede, med store bokstaver, inngår i navnet oppført i kolonne (2) av tabell A i kapittel 3.2.</w:t>
      </w:r>
    </w:p>
    <w:p w14:paraId="4DE55185" w14:textId="77777777" w:rsidR="00000000" w:rsidRDefault="00000000">
      <w:pPr>
        <w:pStyle w:val="b1lf"/>
      </w:pPr>
      <w:r>
        <w:t>c)</w:t>
      </w:r>
      <w:r>
        <w:tab/>
        <w:t>For gasser: transportbetingelsene skal være godkjent av vedkommende myndighet.</w:t>
      </w:r>
    </w:p>
    <w:p w14:paraId="71752E7C" w14:textId="77777777" w:rsidR="00000000" w:rsidRDefault="00000000">
      <w:pPr>
        <w:pStyle w:val="m3tntnrimarg"/>
      </w:pPr>
      <w:r>
        <w:t>3.1.2.7</w:t>
      </w:r>
    </w:p>
    <w:p w14:paraId="37853CB7" w14:textId="77777777" w:rsidR="00000000" w:rsidRDefault="00000000">
      <w:pPr>
        <w:pStyle w:val="b1af-f"/>
      </w:pPr>
      <w:r>
        <w:t>Hydrater kan transporteres under varenavnet for det vannfrie stoffet.</w:t>
      </w:r>
    </w:p>
    <w:p w14:paraId="0D770117" w14:textId="77777777" w:rsidR="00000000" w:rsidRDefault="00000000">
      <w:pPr>
        <w:pStyle w:val="m3tnt"/>
      </w:pPr>
      <w:r>
        <w:t>3.1.2.8</w:t>
      </w:r>
      <w:r>
        <w:tab/>
        <w:t>Beskrivende posisjoner eller «ikke nærmere bestemt» (N.O.S.) posisjoner</w:t>
      </w:r>
    </w:p>
    <w:p w14:paraId="29718335" w14:textId="77777777" w:rsidR="00000000" w:rsidRDefault="00000000">
      <w:pPr>
        <w:pStyle w:val="m4tntnrimarg"/>
      </w:pPr>
      <w:r>
        <w:t>3.1.2.8.1</w:t>
      </w:r>
    </w:p>
    <w:p w14:paraId="02C35668" w14:textId="77777777" w:rsidR="00000000" w:rsidRDefault="00000000">
      <w:pPr>
        <w:pStyle w:val="b1af-f"/>
      </w:pPr>
      <w:r>
        <w:t>Varenavn som er en «n.o.s.» posisjon eller «beskrivende» posisjon, og som har spesiell bestemmelse 274 eller 318 angitt i kolonne (6) i Tabell A i kapittel 3.2, skal suppleres med godsets tekniske betegnelse, med mindre nasjonal lovgivning eller internasjonal konvensjon forbyr at dette gjøres kjent når stoffet er underlagt restriksjoner. For eksplosiver i klasse 1 kan beskrivelsen også inneholde tilleggstekst som indikerer kommersielle eller militære betegnelser. Tekniske navn skal stå i parentes direkte etter varenavnet. Passende tilleggsinformasjon, slik som «inneholder» eller «inneholdende» og andre spesifiserende tekster som «blanding», «løsning» eller lignende, samt angivelse av innholdet av stoffet i prosent kan også benyttes. For eksempel: «UN 1993 Brannfarlig væske, n.o.s. (inneholder xylen og benzen), 3, II»</w:t>
      </w:r>
    </w:p>
    <w:p w14:paraId="1AD69891" w14:textId="77777777" w:rsidR="00000000" w:rsidRDefault="00000000">
      <w:pPr>
        <w:pStyle w:val="m5ttnrimarg"/>
      </w:pPr>
      <w:r>
        <w:t>3.1.2.8.1.1</w:t>
      </w:r>
    </w:p>
    <w:p w14:paraId="35A7C2C7" w14:textId="77777777" w:rsidR="00000000" w:rsidRDefault="00000000">
      <w:pPr>
        <w:pStyle w:val="b1af-f"/>
      </w:pPr>
      <w:r>
        <w:t>Den tekniske betegnelsen skal være en anerkjent kjemisk eller biologisk betegnelse, eller ett navn som blir brukt i vitenskapelige og tekniske håndbøker, journaler og tekster. Handelsnavn skal ikke benyttes til dette formål. For bekjempningsmidler skal bare benyttes betegnelse(r) i samsvar med ISO eller «WHO Recommended Classification of Pesticides by Hazard and Guidelines to Classification», eller navnet på det/de aktive stoffet/stoffene.</w:t>
      </w:r>
    </w:p>
    <w:p w14:paraId="7FE81D70" w14:textId="77777777" w:rsidR="00000000" w:rsidRDefault="00000000">
      <w:pPr>
        <w:pStyle w:val="m5ttnrimarg"/>
      </w:pPr>
      <w:r>
        <w:t>3.1.2.8.1.2</w:t>
      </w:r>
    </w:p>
    <w:p w14:paraId="06BE4707" w14:textId="77777777" w:rsidR="00000000" w:rsidRDefault="00000000">
      <w:pPr>
        <w:pStyle w:val="b1af-f"/>
      </w:pPr>
      <w:r>
        <w:t>Når en blanding av farlig gods eller gjenstander som inneholder farlig gods er betegnet av en n.o.s., eller en beskrivende, posisjon som er tilordnet spesiell bestemmelse 274 i kolonne (6) av tabell A i kapittel 3.2, behøver ikke mer enn de to komponentene som bidrar mest til faren eller farene ved blandingen eller gjenstandene, å vises, bortsett fra stoffer som i nasjonal lovgivning eller internasjonale konvensjoner er underlagt restriksjoner som medfører at det er forbudt å vise deres tilstedeværelse. Dersom et kolli som inneholder en blanding er merket med fareseddel for tilleggsfare, skal en av de to tekniske betegnelsene som er oppført i parentes, være navnet på en av de komponentene som er årsak til at det skal være fare­seddel for tilleggsfare.</w:t>
      </w:r>
    </w:p>
    <w:p w14:paraId="4CB79C40" w14:textId="77777777" w:rsidR="00000000" w:rsidRDefault="00000000">
      <w:pPr>
        <w:pStyle w:val="b1af"/>
      </w:pPr>
      <w:r>
        <w:rPr>
          <w:rStyle w:val="LS2Fet"/>
        </w:rPr>
        <w:t>ANM:</w:t>
      </w:r>
      <w:r>
        <w:t xml:space="preserve"> se 5.4.1.2.2</w:t>
      </w:r>
    </w:p>
    <w:p w14:paraId="3AF232BE" w14:textId="77777777" w:rsidR="00000000" w:rsidRDefault="00000000">
      <w:pPr>
        <w:pStyle w:val="m5ttnrimarg"/>
      </w:pPr>
      <w:r>
        <w:t>3.1.2.8.1.3</w:t>
      </w:r>
    </w:p>
    <w:p w14:paraId="789187A6" w14:textId="77777777" w:rsidR="00000000" w:rsidRDefault="00000000">
      <w:pPr>
        <w:pStyle w:val="b1af-f"/>
      </w:pPr>
      <w:r>
        <w:t>Eksempler som viser valg av varenavn supplert med teknisk betegnelse for slike n.o.s-posisjoner:</w:t>
      </w:r>
    </w:p>
    <w:p w14:paraId="020DE957" w14:textId="77777777" w:rsidR="00000000" w:rsidRDefault="00000000">
      <w:pPr>
        <w:pStyle w:val="b1aff"/>
      </w:pPr>
      <w:r>
        <w:t>UN 3394 ORGANOMETALLISK STOFF, FLYTENDE, SELVANTENNENDE, VANNREAKTIVT ­(trimetylgallium)</w:t>
      </w:r>
    </w:p>
    <w:p w14:paraId="6ABD4FA6" w14:textId="77777777" w:rsidR="00000000" w:rsidRDefault="00000000">
      <w:pPr>
        <w:pStyle w:val="b1af"/>
      </w:pPr>
      <w:r>
        <w:t>UN 2902 BEKJEMPNINGSMIDDEL, FLYTENDE, GIFTIG, N.O.S. (drazoxolon)</w:t>
      </w:r>
    </w:p>
    <w:p w14:paraId="7BA5711D" w14:textId="77777777" w:rsidR="00000000" w:rsidRDefault="00000000">
      <w:pPr>
        <w:pStyle w:val="b1af"/>
      </w:pPr>
      <w:r>
        <w:t>UN 3540 GJENSTANDER SOM INNEHOLDER BRANNFARLIG VÆSKE, N.O.S. (pyrrolidin).</w:t>
      </w:r>
    </w:p>
    <w:p w14:paraId="14F16644" w14:textId="77777777" w:rsidR="00000000" w:rsidRDefault="00000000">
      <w:pPr>
        <w:pStyle w:val="m5ttnrimarg"/>
      </w:pPr>
      <w:r>
        <w:t>3.1.2.8.1.4</w:t>
      </w:r>
    </w:p>
    <w:p w14:paraId="0BECF46E" w14:textId="77777777" w:rsidR="00000000" w:rsidRDefault="00000000">
      <w:pPr>
        <w:pStyle w:val="b1af-f"/>
      </w:pPr>
      <w:r>
        <w:t>For UN 3077 og 3082, kan den tekniske betegnelsen være et navn oppført med store bokstaver i kolonne 2 av tabell A i kapittel 3.2, forutsatt at dette navnet ikke inkluderer «N.O.S» og at spesiell bestemmelse 274 ikke er tilordnet. Det navnet som på den mest hensiktsmessige måten beskriver stoffet eller blandingen, skal benyttes, f.eks.:</w:t>
      </w:r>
    </w:p>
    <w:p w14:paraId="1C69DC81" w14:textId="77777777" w:rsidR="00000000" w:rsidRDefault="00000000">
      <w:pPr>
        <w:pStyle w:val="b1aff"/>
      </w:pPr>
      <w:r>
        <w:t>UN 3082, MILJØFARLIG STOFF, FLYTENDE, N.O.S. (MALING)</w:t>
      </w:r>
    </w:p>
    <w:p w14:paraId="243D11B7" w14:textId="77777777" w:rsidR="00000000" w:rsidRDefault="00000000">
      <w:pPr>
        <w:pStyle w:val="b1aff"/>
      </w:pPr>
      <w:r>
        <w:t>UN 3082, MILJØFARLIG STOFF, FLYTENDE, N.O.S. (PARFYMEPRODUKTER)</w:t>
      </w:r>
    </w:p>
    <w:p w14:paraId="55DD4C95" w14:textId="77777777" w:rsidR="00000000" w:rsidRDefault="00000000">
      <w:pPr>
        <w:pStyle w:val="m2tnt"/>
      </w:pPr>
      <w:r>
        <w:t>3.1.3</w:t>
      </w:r>
      <w:r>
        <w:tab/>
        <w:t>Løsninger og blandinger</w:t>
      </w:r>
    </w:p>
    <w:p w14:paraId="25CFC553" w14:textId="77777777" w:rsidR="00000000" w:rsidRDefault="00000000">
      <w:pPr>
        <w:pStyle w:val="b1af-f"/>
      </w:pPr>
      <w:r>
        <w:rPr>
          <w:rStyle w:val="LS2Fet"/>
        </w:rPr>
        <w:t>ANM:</w:t>
      </w:r>
      <w:r>
        <w:t xml:space="preserve"> Når et stoff er spesifikt nevnt ved navn i tabell A i kapittel 3.2, skal det identifiseres ved transport med varenavnet i kolonne (2) i tabell A i kapittel 3.2. Slike stoffer kan inneholde tekniske urenheter (for eksempel slike som stammer fra produksjonsprosessen) eller tilsetningsstoffer for stabilitet eller andre formål som ikke påvirker stoffets klassifisering. Men, et stoff nevnt ved navn inneholdende tekniske urenheter eller tilsetningsstoffer for stabilitet eller andre formål som påvirker deres klassifisering skal regnes som en løsning eller blanding (se 2.1.3.3).</w:t>
      </w:r>
    </w:p>
    <w:p w14:paraId="2ED1C8C9" w14:textId="77777777" w:rsidR="00000000" w:rsidRDefault="00000000">
      <w:pPr>
        <w:pStyle w:val="m3tntnrimarg"/>
      </w:pPr>
      <w:r>
        <w:t>3.1.3.1</w:t>
      </w:r>
    </w:p>
    <w:p w14:paraId="4110935F" w14:textId="77777777" w:rsidR="00000000" w:rsidRDefault="00000000">
      <w:pPr>
        <w:pStyle w:val="b1af-f"/>
      </w:pPr>
      <w:r>
        <w:t>En løsning eller blanding er ikke underlagt ADR/RID hvis karakteristikkene, egenskapene, formen eller den fysiske tilstanden til løsningen eller blandingen er slik at det ikke tilfredsstiller kriteriene, inkludert kriteriene fra menneskelig erfaring, til å bli inkludert i noen klasse.</w:t>
      </w:r>
    </w:p>
    <w:p w14:paraId="33F280E0" w14:textId="77777777" w:rsidR="00000000" w:rsidRDefault="00000000">
      <w:pPr>
        <w:pStyle w:val="m3tntnrimarg"/>
      </w:pPr>
      <w:r>
        <w:t>3.1.3.2</w:t>
      </w:r>
    </w:p>
    <w:p w14:paraId="7946D149" w14:textId="77777777" w:rsidR="00000000" w:rsidRDefault="00000000">
      <w:pPr>
        <w:pStyle w:val="b1af-f"/>
      </w:pPr>
      <w:r>
        <w:t>En løsning eller blanding som i henhold til klassifiseringskriteriene er underlagt ADR/RID, bestående av ett enkelt dominerende stoff nevnt ved navn i tabell A i kapittel 3.2 og ett eller flere stoffer som ikke er underlagt ADR/RID eller spor av et eller flere stoffer nevnt ved navn i tabell A i kapittel 3.2, skal tilordnes UN nummeret og varenavnet til det dominerende stoffet nevnt ved navn i tabell A i kapittel 3.2 hvis ikke:</w:t>
      </w:r>
    </w:p>
    <w:p w14:paraId="2CD7DB67" w14:textId="77777777" w:rsidR="00000000" w:rsidRDefault="00000000">
      <w:pPr>
        <w:pStyle w:val="b1lf"/>
      </w:pPr>
      <w:r>
        <w:t>a)</w:t>
      </w:r>
      <w:r>
        <w:tab/>
        <w:t>Løsningen eller blandingen er nevnt ved navn i tabell A i kapittel 3.2;</w:t>
      </w:r>
    </w:p>
    <w:p w14:paraId="7008B7E3" w14:textId="77777777" w:rsidR="00000000" w:rsidRDefault="00000000">
      <w:pPr>
        <w:pStyle w:val="b1lf"/>
      </w:pPr>
      <w:r>
        <w:t>b)</w:t>
      </w:r>
      <w:r>
        <w:tab/>
        <w:t>Navnet og beskrivelsen av stoffet nevnt i tabell A i kapittel 3.2 indikerer spesielt at det gjelder kun rent stoff;</w:t>
      </w:r>
    </w:p>
    <w:p w14:paraId="19836585" w14:textId="77777777" w:rsidR="00000000" w:rsidRDefault="00000000">
      <w:pPr>
        <w:pStyle w:val="b1lf"/>
      </w:pPr>
      <w:r>
        <w:t>c)</w:t>
      </w:r>
      <w:r>
        <w:tab/>
        <w:t>Klassen, klassifiseringskoden, emballasjegruppen, eller den fysiske tilstanden til løsningen eller blandingen er forskjellig fra den til stoffet som er nevnt ved navn i tabell A i kapittel 3.2; eller</w:t>
      </w:r>
    </w:p>
    <w:p w14:paraId="60DA61ED" w14:textId="77777777" w:rsidR="00000000" w:rsidRDefault="00000000">
      <w:pPr>
        <w:pStyle w:val="b1lf"/>
      </w:pPr>
      <w:r>
        <w:t>d)</w:t>
      </w:r>
      <w:r>
        <w:tab/>
        <w:t>Farene og egenskapene til løsningen eller blandingen gjør det nødvendig å bruke tiltak i nødssituasjoner som er forskjellige fra de som kreves for stoffet som er nevnt ved navn i tabell A i kapittel 3.2.</w:t>
      </w:r>
    </w:p>
    <w:p w14:paraId="34EBAD4C" w14:textId="77777777" w:rsidR="00000000" w:rsidRDefault="00000000">
      <w:pPr>
        <w:pStyle w:val="b1af"/>
      </w:pPr>
      <w:r>
        <w:t>Presiserende ord som «LØSNING» eller «BLANDING», etter hva som passer, skal legges til som en del av varenavnet, for eksempel «ACETONLØSNING». I tillegg kan også konsentrasjonen til blandingen eller løsningen indikeres etter utgangsbeskrivelsen av blandingen eller løsningen, for eksempel, «ACETON 75 % LØSNING».</w:t>
      </w:r>
    </w:p>
    <w:p w14:paraId="5063FB2C" w14:textId="77777777" w:rsidR="00000000" w:rsidRDefault="00000000">
      <w:pPr>
        <w:pStyle w:val="m3tntnrimarg"/>
      </w:pPr>
      <w:r>
        <w:t>3.1.3.3</w:t>
      </w:r>
    </w:p>
    <w:p w14:paraId="26A7BA87" w14:textId="77777777" w:rsidR="00000000" w:rsidRDefault="00000000">
      <w:pPr>
        <w:pStyle w:val="b1af-f"/>
      </w:pPr>
      <w:r>
        <w:t>En løsning eller blanding som i henhold til klassifiseringskriteriene er underlagt ADR/RID, og som ikke er nevnt ved navn i tabell A i kapittel 3.2 og som består av to eller flere farlige gods skal tilordnes en opp­føring som har et varenavn, beskrivelse, klasse, klassifiseringskode og emballasjegruppe som mest nøyaktig beskriver løsningen eller blandingen.</w:t>
      </w:r>
    </w:p>
    <w:p w14:paraId="0BAB83F8" w14:textId="77777777" w:rsidR="00000000" w:rsidRDefault="00000000">
      <w:pPr>
        <w:pStyle w:val="kap1starts"/>
      </w:pPr>
      <w:r>
        <w:t>[start kap]</w:t>
      </w:r>
    </w:p>
    <w:p w14:paraId="4DF27A0A" w14:textId="77777777" w:rsidR="00000000" w:rsidRDefault="00000000">
      <w:pPr>
        <w:pStyle w:val="kap1nums"/>
      </w:pPr>
      <w:r>
        <w:t>Kapittel 3.2</w:t>
      </w:r>
    </w:p>
    <w:p w14:paraId="6A40AD45" w14:textId="77777777" w:rsidR="00000000" w:rsidRDefault="00000000">
      <w:pPr>
        <w:pStyle w:val="kap1titts"/>
        <w:spacing w:after="624"/>
      </w:pPr>
      <w:r>
        <w:t>Liste over farlig gods</w:t>
      </w:r>
    </w:p>
    <w:p w14:paraId="4E440F86" w14:textId="77777777" w:rsidR="00000000" w:rsidRDefault="00000000">
      <w:pPr>
        <w:pStyle w:val="m2tnt"/>
        <w:spacing w:before="0"/>
      </w:pPr>
      <w:r>
        <w:t>3.2.1</w:t>
      </w:r>
      <w:r>
        <w:tab/>
        <w:t>Tabell A: Liste over farlig gods, ordnet etter UN-nummer</w:t>
      </w:r>
    </w:p>
    <w:p w14:paraId="24147141" w14:textId="77777777" w:rsidR="00000000" w:rsidRDefault="00000000">
      <w:pPr>
        <w:pStyle w:val="b1fm1t-t"/>
      </w:pPr>
      <w:r>
        <w:t>Forklaringer</w:t>
      </w:r>
    </w:p>
    <w:p w14:paraId="3F49A1D5" w14:textId="77777777" w:rsidR="00000000" w:rsidRDefault="00000000">
      <w:pPr>
        <w:pStyle w:val="b1af-f"/>
      </w:pPr>
      <w:r>
        <w:t>Som hovedregel gjelder hver rad i tabell A for stoff(er) eller gjenstand(er) som dekkes av et spesifikt UN-nummer. Men hvis stoffer eller gjenstander som tilhører samme UN-nummer, har ulike kjemiske egenskaper og/eller skal transporteres under ulike betingelser, kan flere rader etter hverandre være brukt for dette UN-nummeret.</w:t>
      </w:r>
    </w:p>
    <w:p w14:paraId="06D22C58" w14:textId="77777777" w:rsidR="00000000" w:rsidRDefault="00000000">
      <w:pPr>
        <w:pStyle w:val="b1af"/>
      </w:pPr>
      <w:r>
        <w:t>Hver av kolonnene i tabell A gjelder et enkelt emne slik det fremgår av forklaringene nedenfor. I rubrikken der en kolonne og en rad skjærer hverandre, finnes informasjon om det emnet som kolonnen behandler, for stoffet/stoffene eller gjenstanden(e) på raden:</w:t>
      </w:r>
    </w:p>
    <w:p w14:paraId="47FBD5C7" w14:textId="77777777" w:rsidR="00000000" w:rsidRDefault="00000000">
      <w:pPr>
        <w:pStyle w:val="b1lf"/>
      </w:pPr>
      <w:r>
        <w:t>–</w:t>
      </w:r>
      <w:r>
        <w:tab/>
        <w:t>de første fire rubrikkene identifiserer stoffet/stoffene eller gjenstanden(e) som hører til raden (ytter­ligere informasjon om dette kan være gitt ved spesiell bestemmelse som angitt i kolonne (6),</w:t>
      </w:r>
    </w:p>
    <w:p w14:paraId="23451AC5" w14:textId="77777777" w:rsidR="00000000" w:rsidRDefault="00000000">
      <w:pPr>
        <w:pStyle w:val="b1lf"/>
      </w:pPr>
      <w:r>
        <w:t>–</w:t>
      </w:r>
      <w:r>
        <w:tab/>
        <w:t>de neste rubrikkene angir de spesielle bestemmelsene som kommer til anvendelse, enten i klartekst eller i form av kode. Kodene gir kryssreferanse til detaljert informasjon som finnes i den delen, det kapitlet, det avsnittet og/eller det underavsnittet som fremgår av forklaringene nedenfor. En tom rubrikk betyr enten at det ikke er spesielle bestemmelser og at det bare er de alminnelige bestemmelsene som gjelder, eller at det er de transportrestriksjonene som fremgår av forklaringene som kommer til anvendelse. Når en alfanumerisk kode som begynner med bokstavene SP benyttes i tabellen, så angir dette en spesiell bestemmelse i kapittel 3.3.</w:t>
      </w:r>
    </w:p>
    <w:p w14:paraId="2D20CB7D" w14:textId="77777777" w:rsidR="00000000" w:rsidRDefault="00000000">
      <w:pPr>
        <w:pStyle w:val="b1af"/>
      </w:pPr>
      <w:r>
        <w:t xml:space="preserve">Det blir ikke henvist i de angjeldende rubrikkene til de alminnelige bestemmelsene som kommer til anvendelse. Nedenfor blir det forklart for hver kolonne i hvilke deler, kapitler, avsnitt og/eller underavsnitt disse bestemmelsene finnes. </w:t>
      </w:r>
    </w:p>
    <w:p w14:paraId="5E2B3EAB" w14:textId="77777777" w:rsidR="00000000" w:rsidRDefault="00000000">
      <w:pPr>
        <w:pStyle w:val="b1fm1tt"/>
      </w:pPr>
      <w:r>
        <w:t>Forklaringer til de enkelte kolonnene</w:t>
      </w:r>
    </w:p>
    <w:p w14:paraId="3C10122B" w14:textId="77777777" w:rsidR="00000000" w:rsidRDefault="00000000">
      <w:pPr>
        <w:pStyle w:val="b1fm1t-t"/>
        <w:rPr>
          <w:rStyle w:val="LS2Fet"/>
          <w:b/>
          <w:bCs/>
        </w:rPr>
      </w:pPr>
      <w:r>
        <w:rPr>
          <w:rStyle w:val="LS2Fet"/>
          <w:b/>
          <w:bCs/>
        </w:rPr>
        <w:t>Kolonne (1) UN-nr.</w:t>
      </w:r>
    </w:p>
    <w:p w14:paraId="4F95D29D" w14:textId="77777777" w:rsidR="00000000" w:rsidRDefault="00000000">
      <w:pPr>
        <w:pStyle w:val="b1lf"/>
      </w:pPr>
      <w:r>
        <w:t>Inneholder UN-nummeret:</w:t>
      </w:r>
    </w:p>
    <w:p w14:paraId="41BDA674" w14:textId="77777777" w:rsidR="00000000" w:rsidRDefault="00000000">
      <w:pPr>
        <w:pStyle w:val="b1lf"/>
      </w:pPr>
      <w:r>
        <w:t>–</w:t>
      </w:r>
      <w:r>
        <w:tab/>
        <w:t xml:space="preserve">til det farlige stoffet eller den farlige gjenstanden dersom stoffet eller gjenstanden er tilordnet et spesifikt UNnummer (se den alfabetiske listen), eller </w:t>
      </w:r>
    </w:p>
    <w:p w14:paraId="23A78CAE" w14:textId="77777777" w:rsidR="00000000" w:rsidRDefault="00000000">
      <w:pPr>
        <w:pStyle w:val="b1lf"/>
      </w:pPr>
      <w:r>
        <w:t>–</w:t>
      </w:r>
      <w:r>
        <w:tab/>
        <w:t>til den beskrivende posisjonen eller n.o.s.-posisjonen som andre farlige stoffer eller gjenstander er tilordnet i henhold til kriteriene («beslutningstreet») i Del 2.</w:t>
      </w:r>
    </w:p>
    <w:p w14:paraId="6DCCAF32" w14:textId="77777777" w:rsidR="00000000" w:rsidRDefault="00000000">
      <w:pPr>
        <w:pStyle w:val="b1fm1tt"/>
        <w:rPr>
          <w:rStyle w:val="LS2Fet"/>
          <w:b/>
          <w:bCs/>
        </w:rPr>
      </w:pPr>
      <w:r>
        <w:rPr>
          <w:rStyle w:val="LS2Fet"/>
          <w:b/>
          <w:bCs/>
        </w:rPr>
        <w:t>Kolonne (2) Navn og beskrivelse</w:t>
      </w:r>
    </w:p>
    <w:p w14:paraId="606A1603" w14:textId="77777777" w:rsidR="00000000" w:rsidRDefault="00000000">
      <w:pPr>
        <w:pStyle w:val="b1af-f"/>
      </w:pPr>
      <w:r>
        <w:t>Inneholder, med store bokstaver, navnet til stoffet eller gjenstanden dersom stoffet eller gjenstanden er tilordnet et eget, spesifikt UN-nummer, eller til den beskrivende posisjonen eller n.o.s-posisjonen som stoffet eller gjenstanden er tilordnet i henhold til kriteriene («beslutningstreet») i Del 2. Dette navnet skal benyttes som varenavn eller, når det er relevant, som en del av varenavnet (se 3.1.2 for nærmere opplysninger om varenavn).</w:t>
      </w:r>
    </w:p>
    <w:p w14:paraId="60DB4CE0" w14:textId="77777777" w:rsidR="00000000" w:rsidRDefault="00000000">
      <w:pPr>
        <w:pStyle w:val="b1af"/>
      </w:pPr>
      <w:r>
        <w:t>En beskrivende tekst med små bokstaver tilføyes etter varenavnet for å gjøre klart hva betegnelsen dekker dersom klassifiseringen og/eller transportbetingelsene kan variere i visse tilfelle.</w:t>
      </w:r>
    </w:p>
    <w:p w14:paraId="58211AC5" w14:textId="77777777" w:rsidR="00000000" w:rsidRDefault="00000000">
      <w:pPr>
        <w:pStyle w:val="b1fm1tt"/>
        <w:rPr>
          <w:rStyle w:val="LS2Fet"/>
          <w:b/>
          <w:bCs/>
        </w:rPr>
      </w:pPr>
      <w:r>
        <w:rPr>
          <w:rStyle w:val="LS2Fet"/>
          <w:b/>
          <w:bCs/>
        </w:rPr>
        <w:t>Kolonne (3a) Klasse</w:t>
      </w:r>
    </w:p>
    <w:p w14:paraId="090CD8E7" w14:textId="77777777" w:rsidR="00000000" w:rsidRDefault="00000000">
      <w:pPr>
        <w:pStyle w:val="b1af-f"/>
      </w:pPr>
      <w:r>
        <w:t xml:space="preserve">Inneholder nummeret for klassen som omfatter det farlige stoffet eller den farlige gjenstanden. Denne klassen er tilordnet i henhold til prosedyren og kriteriene i Del 2. </w:t>
      </w:r>
    </w:p>
    <w:p w14:paraId="4CE9C785" w14:textId="77777777" w:rsidR="00000000" w:rsidRDefault="00000000">
      <w:pPr>
        <w:pStyle w:val="b1fm1tt"/>
        <w:rPr>
          <w:rStyle w:val="LS2Fet"/>
          <w:b/>
          <w:bCs/>
        </w:rPr>
      </w:pPr>
      <w:r>
        <w:rPr>
          <w:rStyle w:val="LS2Fet"/>
          <w:b/>
          <w:bCs/>
        </w:rPr>
        <w:t>Kolonne (3b) Klassifiseringskode</w:t>
      </w:r>
    </w:p>
    <w:p w14:paraId="3F981C99" w14:textId="77777777" w:rsidR="00000000" w:rsidRDefault="00000000">
      <w:pPr>
        <w:pStyle w:val="b1af-f"/>
      </w:pPr>
      <w:r>
        <w:t xml:space="preserve">Inneholder klassifiseringskoden for det farlige stoffet eller den farlige gjenstanden. </w:t>
      </w:r>
    </w:p>
    <w:p w14:paraId="498DE6E8" w14:textId="77777777" w:rsidR="00000000" w:rsidRDefault="00000000">
      <w:pPr>
        <w:pStyle w:val="b1lf"/>
      </w:pPr>
      <w:r>
        <w:t>–</w:t>
      </w:r>
      <w:r>
        <w:tab/>
        <w:t>For farlige stoffer eller farlige gjenstander av klasse 1 består koden av et nummer for faregruppe og en bokstav for forenlighetsgruppe som er tilordnet i henhold til prosedyren og kriteriene i 2.2.1.1.4.</w:t>
      </w:r>
    </w:p>
    <w:p w14:paraId="63E03D80" w14:textId="77777777" w:rsidR="00000000" w:rsidRDefault="00000000">
      <w:pPr>
        <w:pStyle w:val="b1lf"/>
      </w:pPr>
      <w:r>
        <w:t>–</w:t>
      </w:r>
      <w:r>
        <w:tab/>
        <w:t>For farlige stoffer eller gjenstander av klasse 2 består koden av et tall samt bokstav(er) for faregruppe, slik det er forklart i 2.2.2.1.2 og 2.2.2.1.3.</w:t>
      </w:r>
    </w:p>
    <w:p w14:paraId="2CA454EE" w14:textId="77777777" w:rsidR="00000000" w:rsidRDefault="00000000">
      <w:pPr>
        <w:pStyle w:val="b1lf"/>
        <w:rPr>
          <w:rStyle w:val="LS2Hevet"/>
        </w:rPr>
      </w:pPr>
      <w:r>
        <w:t>–</w:t>
      </w:r>
      <w:r>
        <w:tab/>
        <w:t xml:space="preserve">For farlige stoffer eller gjenstander av klassene 3, 4.1, 4.2, 4.3, 5.1, 5.2, 6.1, 6.2 og 9, er kodene forklart i 2.2.x.1.2 </w:t>
      </w:r>
      <w:r>
        <w:rPr>
          <w:rFonts w:cstheme="minorBidi"/>
          <w:color w:val="auto"/>
          <w:sz w:val="24"/>
          <w:szCs w:val="24"/>
          <w:lang w:val="en-GB"/>
        </w:rPr>
        <w:footnoteReference w:id="4"/>
      </w:r>
    </w:p>
    <w:p w14:paraId="375B0AD9" w14:textId="77777777" w:rsidR="00000000" w:rsidRDefault="00000000">
      <w:pPr>
        <w:pStyle w:val="b1lf"/>
      </w:pPr>
      <w:r>
        <w:t>–</w:t>
      </w:r>
      <w:r>
        <w:tab/>
        <w:t xml:space="preserve">For farlige stoffer og gjenstander av klasse 8, er kodene forklart i 2.2.8.1.4.1. </w:t>
      </w:r>
    </w:p>
    <w:p w14:paraId="3ABBFF40" w14:textId="77777777" w:rsidR="00000000" w:rsidRDefault="00000000">
      <w:pPr>
        <w:pStyle w:val="b1lf"/>
      </w:pPr>
      <w:r>
        <w:t>–</w:t>
      </w:r>
      <w:r>
        <w:tab/>
        <w:t xml:space="preserve">Farlige stoffer eller gjenstander av klasse 7 har ikke klassifiseringskode. </w:t>
      </w:r>
    </w:p>
    <w:p w14:paraId="593BFA9D" w14:textId="77777777" w:rsidR="00000000" w:rsidRDefault="00000000">
      <w:pPr>
        <w:pStyle w:val="b1fm1tt"/>
        <w:rPr>
          <w:rStyle w:val="LS2Fet"/>
          <w:b/>
          <w:bCs/>
        </w:rPr>
      </w:pPr>
      <w:r>
        <w:rPr>
          <w:rStyle w:val="LS2Fet"/>
          <w:b/>
          <w:bCs/>
        </w:rPr>
        <w:t>Kolonne (4) Emballasjegruppe</w:t>
      </w:r>
    </w:p>
    <w:p w14:paraId="6D0A33FF" w14:textId="77777777" w:rsidR="00000000" w:rsidRDefault="00000000">
      <w:pPr>
        <w:pStyle w:val="b1af-f"/>
      </w:pPr>
      <w:r>
        <w:t>Inneholder nummer (I, II eller III) for emballasjegruppen/emballasjegruppene som det farlige stoffet er tilordnet. Disse emballasjegruppenumrene er tilordnet på grunnlag av prosedyrene og kriteriene i Del 2. Gjenstander og visse stoffer er ikke tilordnet emballasjegrupper. Emballasjegrupper kan også være tilordnet via spesielle bestemmelser i kapittel 3.3 som er oppgitt i kolonne (6).</w:t>
      </w:r>
    </w:p>
    <w:p w14:paraId="3B79AB1C" w14:textId="77777777" w:rsidR="00000000" w:rsidRDefault="00000000">
      <w:pPr>
        <w:pStyle w:val="b1fm1tt"/>
        <w:rPr>
          <w:rStyle w:val="LS2Fet"/>
          <w:b/>
          <w:bCs/>
        </w:rPr>
      </w:pPr>
      <w:r>
        <w:rPr>
          <w:rStyle w:val="LS2Fet"/>
          <w:b/>
          <w:bCs/>
        </w:rPr>
        <w:t xml:space="preserve">Kolonne (5) Faresedler (og for </w:t>
      </w:r>
      <w:r>
        <w:rPr>
          <w:rStyle w:val="LS2TegnRID"/>
          <w:b/>
          <w:bCs/>
        </w:rPr>
        <w:t>RID: rangeringsmerker</w:t>
      </w:r>
      <w:r>
        <w:rPr>
          <w:rStyle w:val="LS2Fet"/>
          <w:b/>
          <w:bCs/>
        </w:rPr>
        <w:t>)</w:t>
      </w:r>
    </w:p>
    <w:p w14:paraId="45A6132F" w14:textId="77777777" w:rsidR="00000000" w:rsidRDefault="00000000">
      <w:pPr>
        <w:pStyle w:val="b1af-f"/>
      </w:pPr>
      <w:r>
        <w:t>Inneholder nummer på faresedler (se 5.2.2.2 og 5.3.1.7) som skal anbringes på kolli, containere, løstanker, tankkjøretøyer/-vogner, tankcontainere, multimodale tanker, MEGCer, vogner og kjøretøyer. Men:</w:t>
      </w:r>
    </w:p>
    <w:p w14:paraId="0F3ACCE4" w14:textId="77777777" w:rsidR="00000000" w:rsidRDefault="00000000">
      <w:pPr>
        <w:pStyle w:val="b1lf"/>
      </w:pPr>
      <w:r>
        <w:t>–</w:t>
      </w:r>
      <w:r>
        <w:tab/>
        <w:t>for stoffer og gjenstander av klasse 7 betyr 7X fareseddel henholdsvis nr. 7A, 7B eller 7C i samsvar med kategorien (se 5.1.5.3.4 og 5.2.2.1.11.1), eller fareseddel nr. 7D for anbringelse på kjøretøyer/vogner, tanker med volum over 3 m</w:t>
      </w:r>
      <w:r>
        <w:rPr>
          <w:rStyle w:val="LS2Hevet"/>
        </w:rPr>
        <w:t>3</w:t>
      </w:r>
      <w:r>
        <w:t xml:space="preserve"> og store containere (se 5.3.1.1.3 og 5.3.1.7.2);</w:t>
      </w:r>
    </w:p>
    <w:p w14:paraId="5DD2FFFF" w14:textId="77777777" w:rsidR="00000000" w:rsidRDefault="00000000">
      <w:pPr>
        <w:pStyle w:val="b1affRID"/>
      </w:pPr>
      <w:r>
        <w:t>RID: For enkelte stoffer er det det oppført henvisning til rangeringsmerker nr. 13 og 15 (se 5.3.4). Disse skal benyttes på følgende måte:</w:t>
      </w:r>
    </w:p>
    <w:p w14:paraId="02B3CA2F" w14:textId="77777777" w:rsidR="00000000" w:rsidRDefault="00000000">
      <w:pPr>
        <w:pStyle w:val="b1lfRID"/>
      </w:pPr>
      <w:r>
        <w:t>–</w:t>
      </w:r>
      <w:r>
        <w:tab/>
        <w:t>Klasse 1: på begge sider av vogner som inneholder komplett last;</w:t>
      </w:r>
    </w:p>
    <w:p w14:paraId="466019CE" w14:textId="77777777" w:rsidR="00000000" w:rsidRDefault="00000000">
      <w:pPr>
        <w:pStyle w:val="b1lfRID"/>
      </w:pPr>
      <w:r>
        <w:t>–</w:t>
      </w:r>
      <w:r>
        <w:tab/>
        <w:t>Klasse 2: på begge sider av tankvogner, batterivogner, vogner med løstanker og vogner som transporterer tankcontainere, MEGCer eller multimodale tanker</w:t>
      </w:r>
    </w:p>
    <w:p w14:paraId="6FCADE89" w14:textId="77777777" w:rsidR="00000000" w:rsidRDefault="00000000">
      <w:pPr>
        <w:pStyle w:val="b1af"/>
      </w:pPr>
      <w:r>
        <w:t>De alminnelige bestemmelsene for faresedler (dvs. antall og plassering) finnes i 5.2.2.1 for kolli (</w:t>
      </w:r>
      <w:r>
        <w:rPr>
          <w:rStyle w:val="LS2TegnRID"/>
        </w:rPr>
        <w:t>RID: kolli og småcontainere</w:t>
      </w:r>
      <w:r>
        <w:t>), og i 5.3.1 for containere, tankcontainere, MEGCer og løstanker og kjøretøyer (</w:t>
      </w:r>
      <w:r>
        <w:rPr>
          <w:rStyle w:val="LS2TegnRID"/>
        </w:rPr>
        <w:t>RID: storcontainere, tankcontainere, MEGCer, løstanker, tankvogner, vogner med løstanker, batterivogner, og jernbanevogner</w:t>
      </w:r>
      <w:r>
        <w:t>).</w:t>
      </w:r>
    </w:p>
    <w:p w14:paraId="54C8116C" w14:textId="77777777" w:rsidR="00000000" w:rsidRDefault="00000000">
      <w:pPr>
        <w:pStyle w:val="b1af"/>
      </w:pPr>
      <w:r>
        <w:rPr>
          <w:rStyle w:val="LS2Fet"/>
        </w:rPr>
        <w:t xml:space="preserve">ANM: </w:t>
      </w:r>
      <w:r>
        <w:t>Spesielle bestemmelser som er angitt i kolonne (6), kan endre ovenstående bestemmelser om faresedler.</w:t>
      </w:r>
    </w:p>
    <w:p w14:paraId="1A514C68" w14:textId="77777777" w:rsidR="00000000" w:rsidRDefault="00000000">
      <w:pPr>
        <w:pStyle w:val="b1fm1tt"/>
        <w:rPr>
          <w:rStyle w:val="LS2Fet"/>
          <w:b/>
          <w:bCs/>
        </w:rPr>
      </w:pPr>
      <w:r>
        <w:rPr>
          <w:rStyle w:val="LS2Fet"/>
          <w:b/>
          <w:bCs/>
        </w:rPr>
        <w:t>Kolonne (6) Spesielle bestemmelser</w:t>
      </w:r>
    </w:p>
    <w:p w14:paraId="3BECE209" w14:textId="77777777" w:rsidR="00000000" w:rsidRDefault="00000000">
      <w:pPr>
        <w:pStyle w:val="b1af-f"/>
      </w:pPr>
      <w:r>
        <w:t>Inneholder tallkoden for spesielle bestemmelser som må oppfylles. Disse bestemmelsene gjelder et omfattende utvalg av emner, i hovedsak i forbindelse med innholdet i kolonnene (1) til (5) (f.eks. forbud mot transport, unntak fra bestemmelsene, forklaringer med hensyn til klassifisering av visse former av det farlige godset som skal transporteres samt tilleggsbestemmelser om faresedler og merking), og de er oppført i kapittel 3.3 i nummerrekkefølge. Dersom kolonne (6) er tom, er det ingen spesielle bestemmelser som gjelder for innholdet av kolonnene (1) til (5) for angjeldende farlige gods.</w:t>
      </w:r>
    </w:p>
    <w:p w14:paraId="09A84C37" w14:textId="77777777" w:rsidR="00000000" w:rsidRDefault="00000000">
      <w:pPr>
        <w:pStyle w:val="b1fm1tt"/>
      </w:pPr>
      <w:r>
        <w:rPr>
          <w:rStyle w:val="LS2Fet"/>
          <w:b/>
          <w:bCs/>
        </w:rPr>
        <w:t>Kolonne (7a) «Begrensede mengder</w:t>
      </w:r>
      <w:r>
        <w:t>»</w:t>
      </w:r>
    </w:p>
    <w:p w14:paraId="18807E66" w14:textId="77777777" w:rsidR="00000000" w:rsidRDefault="00000000">
      <w:pPr>
        <w:pStyle w:val="b1af-f"/>
      </w:pPr>
      <w:r>
        <w:t>Angir maksimal mengde per inneremballasje eller artikkel for transport av farlig gods som begrensede mengder i henhold til kapittel 3.4.</w:t>
      </w:r>
    </w:p>
    <w:p w14:paraId="147DCD2C" w14:textId="77777777" w:rsidR="00000000" w:rsidRDefault="00000000">
      <w:pPr>
        <w:pStyle w:val="b1fm1tt"/>
        <w:rPr>
          <w:rStyle w:val="LS2Fet"/>
          <w:b/>
          <w:bCs/>
        </w:rPr>
      </w:pPr>
      <w:r>
        <w:rPr>
          <w:rStyle w:val="LS2Fet"/>
          <w:b/>
          <w:bCs/>
        </w:rPr>
        <w:t>Kolonne (7b) Unntatte mengder</w:t>
      </w:r>
    </w:p>
    <w:p w14:paraId="3934DAB7" w14:textId="77777777" w:rsidR="00000000" w:rsidRDefault="00000000">
      <w:pPr>
        <w:pStyle w:val="b1af-f"/>
      </w:pPr>
      <w:r>
        <w:t>Inneholder en alfanumerisk kode som betyr følgende:</w:t>
      </w:r>
    </w:p>
    <w:p w14:paraId="3BB76E21" w14:textId="77777777" w:rsidR="00000000" w:rsidRDefault="00000000">
      <w:pPr>
        <w:pStyle w:val="b1lf"/>
      </w:pPr>
      <w:r>
        <w:t>–</w:t>
      </w:r>
      <w:r>
        <w:tab/>
        <w:t>E0 betyr at det ikke eksistere noe unntak fra bestemmelsene i ADR/RID for det aktuelle godset pakket i unntatte mengder</w:t>
      </w:r>
    </w:p>
    <w:p w14:paraId="0708C50E" w14:textId="77777777" w:rsidR="00000000" w:rsidRDefault="00000000">
      <w:pPr>
        <w:pStyle w:val="b1lf"/>
      </w:pPr>
      <w:r>
        <w:t>–</w:t>
      </w:r>
      <w:r>
        <w:tab/>
        <w:t>Alle andre alfanumeriske koder som starter med E betyr at bestemmelsene i ADR/RID ikke kommer til anvendelse dersom vilkårene angitt i kapittel 3.5 er oppfylt.</w:t>
      </w:r>
    </w:p>
    <w:p w14:paraId="767C4E20" w14:textId="77777777" w:rsidR="00000000" w:rsidRDefault="00000000">
      <w:pPr>
        <w:pStyle w:val="b1fm1tt"/>
        <w:rPr>
          <w:rStyle w:val="LS2Fet"/>
          <w:b/>
          <w:bCs/>
        </w:rPr>
      </w:pPr>
      <w:r>
        <w:rPr>
          <w:rStyle w:val="LS2Fet"/>
          <w:b/>
          <w:bCs/>
        </w:rPr>
        <w:t>Kolonne (8) Emballeringsbestemmelser</w:t>
      </w:r>
    </w:p>
    <w:p w14:paraId="19CE09A1" w14:textId="77777777" w:rsidR="00000000" w:rsidRDefault="00000000">
      <w:pPr>
        <w:pStyle w:val="b1af-f"/>
      </w:pPr>
      <w:r>
        <w:t>Inneholder den alfanumeriske koden for de emballeringsbestemmelsene som kommer til anvendelse;</w:t>
      </w:r>
    </w:p>
    <w:p w14:paraId="10541D77" w14:textId="77777777" w:rsidR="00000000" w:rsidRDefault="00000000">
      <w:pPr>
        <w:pStyle w:val="b1lf"/>
      </w:pPr>
      <w:r>
        <w:t>–</w:t>
      </w:r>
      <w:r>
        <w:tab/>
        <w:t>alfanumeriske koder som begynner med bokstavene «P», som viser til emballeringsbestemmelser for emballasje og beholdere (unntatt IBCer og storemballasje), eller «R» som viser til emballeringsbestemmelser for tynnplateemballasje. Disse er listet opp i 4.1.4.1 i nummerrekkefølge og spesifiserer hvilke emballasjer og beholdere som er tillatt. De angir også hvilke av de alminnelige emballeringsbestemmelsene i 4.1.1, 4.1.2 og 4.1.3, samt hvilke av de spesielle emballeringsbestemmelsene i 4.1.5, 4.1.6, 4.1.7, 4.1.8 og 4.1.9 som skal følges. Dersom kolonne (8) ikke inneholder en kode som begynner med bokstavene «P» eller «R», får ikke angjeldende farlige gods transporteres i emballasje;</w:t>
      </w:r>
    </w:p>
    <w:p w14:paraId="05FB05A6" w14:textId="77777777" w:rsidR="00000000" w:rsidRDefault="00000000">
      <w:pPr>
        <w:pStyle w:val="b1lf"/>
      </w:pPr>
      <w:r>
        <w:t>–</w:t>
      </w:r>
      <w:r>
        <w:tab/>
        <w:t>alfanumeriske koder som begynner med bokstavene «IBC», viser til emballeringsbestemmelsene for IBCer. Disse er listet opp i 4.1.4.2 i nummerrekkefølge og spesifiserer hvilke IBCer som er tillatt. De angir også hvilke av de alminnelige emballeringsbestemmelser i 4.1.1, 4.1.2 og 4.1.3, samt hvilke av de spesielle emballeringsbestemmelsene i 4.1.5, 4.1.6, 4.1.7, 4.1.8 og 4.1.9 som skal følges. Dersom kolonne (8) ikke inneholder en kode som begynner med bokstavene «IBC», får ikke angjeldende farlige gods transporteres i IBCer;</w:t>
      </w:r>
    </w:p>
    <w:p w14:paraId="0A145340" w14:textId="77777777" w:rsidR="00000000" w:rsidRDefault="00000000">
      <w:pPr>
        <w:pStyle w:val="b1lf"/>
      </w:pPr>
      <w:r>
        <w:t>–</w:t>
      </w:r>
      <w:r>
        <w:tab/>
        <w:t>alfanumeriske koder som starter med bokstavene «LP», viser til emballeringsbestemmelser for storemballasje. Disse er listet opp i 4.1.4.3 i nummerrekkefølge og spesifiserer hvilke storemballasjer som er tillatt. De angir også hvilke av de alminnelige emballeringsbestemmelsene i 4.1.1, 4.1.2 og 4.1.3, samt hvilke av de spesielle emballeringsbestemmelsene i 4.1.5, 4.1.6, 4.1.7, 4.1.8 og 4.1.9 som skal følges. Dersom kolonne (8) ikke inneholder en kode som begynner med bokstavene «LP», får ikke angjeldende farlige gods transporteres i storemballasje;</w:t>
      </w:r>
    </w:p>
    <w:p w14:paraId="48CA7C97" w14:textId="77777777" w:rsidR="00000000" w:rsidRDefault="00000000">
      <w:pPr>
        <w:pStyle w:val="b1aff"/>
      </w:pPr>
      <w:r>
        <w:rPr>
          <w:rStyle w:val="LS2Fet"/>
        </w:rPr>
        <w:t xml:space="preserve">ANM: </w:t>
      </w:r>
      <w:r>
        <w:t>Spesielle emballeringsbestemmelser som er angitt i kolonne (9a), kan endre de emballeringsbestemmelsene som det er vist til ovenfor.</w:t>
      </w:r>
    </w:p>
    <w:p w14:paraId="1B1A8B7E" w14:textId="77777777" w:rsidR="00000000" w:rsidRDefault="00000000">
      <w:pPr>
        <w:pStyle w:val="b1fm1tt"/>
        <w:rPr>
          <w:rStyle w:val="LS2Fet"/>
          <w:b/>
          <w:bCs/>
        </w:rPr>
      </w:pPr>
      <w:r>
        <w:rPr>
          <w:rStyle w:val="LS2Fet"/>
          <w:b/>
          <w:bCs/>
        </w:rPr>
        <w:t>Kolonne (9a) Spesielle emballeringsbestemmelser:</w:t>
      </w:r>
    </w:p>
    <w:p w14:paraId="6466240F" w14:textId="77777777" w:rsidR="00000000" w:rsidRDefault="00000000">
      <w:pPr>
        <w:pStyle w:val="b1af-f"/>
      </w:pPr>
      <w:r>
        <w:t>Inneholder den alfanumeriske koden for de spesielle emballeringsbestemmelsene som kommer til anvendelse:</w:t>
      </w:r>
    </w:p>
    <w:p w14:paraId="3D8231A2" w14:textId="77777777" w:rsidR="00000000" w:rsidRDefault="00000000">
      <w:pPr>
        <w:pStyle w:val="b1lf"/>
      </w:pPr>
      <w:r>
        <w:t>–</w:t>
      </w:r>
      <w:r>
        <w:tab/>
        <w:t>alfanumeriske koder som begynner med bokstavene «PP» eller «RR» viser til spesielle emballerings­bestemmelser for emballasje og beholdere (unntatt IBCer og storemballasje) som også skal følges. Disse finnes i 4.1.4.1, bakerst i den relevante emballeringsbestemmelsen (med bokstaven «P» eller «R») som er vist til i kolonne (8). Dersom kolonne (9a) ikke inneholder en kode som begynner med bokstavene «PP» eller «RR», gjelder ingen av de spesielle emballeringsbestemmelsene som er listet opp på slutten av vedkommende emballeringsbestemmelse.</w:t>
      </w:r>
    </w:p>
    <w:p w14:paraId="46B6FA0E" w14:textId="77777777" w:rsidR="00000000" w:rsidRDefault="00000000">
      <w:pPr>
        <w:pStyle w:val="b1lf"/>
      </w:pPr>
      <w:r>
        <w:t>–</w:t>
      </w:r>
      <w:r>
        <w:tab/>
        <w:t>alfanumeriske koder som begynner med bokstaven «B» eller «BB» viser til spesielle emballerings­bestemmelser for IBCer som også skal følges. Disse finnes i 4.1.4.2 sist i den relevante emballerings­bestemmelse (med bokstavene «IBC» som er angitt i kolonne (8). Dersom kolonne (9a) ikke inneholder en kode som begynner med bokstaven «B» eller «BB», gjelder ingen av de spesielle emballeringsbestemmelsene som er listet opp på slutten av aktuell emballeringsbestemmelse.</w:t>
      </w:r>
    </w:p>
    <w:p w14:paraId="74A3BBA2" w14:textId="77777777" w:rsidR="00000000" w:rsidRDefault="00000000">
      <w:pPr>
        <w:pStyle w:val="b1lf"/>
      </w:pPr>
      <w:r>
        <w:t>–</w:t>
      </w:r>
      <w:r>
        <w:tab/>
        <w:t>alfanumeriske koder som begynner med bokstaven «L» eller bokstavene «LL» viser til spesielle emballeringsbestemmelser for storemballasje som også skal følges. Disse finnes i 4.1.4.3, bakerst i den relevante emballeringsbestemmelsen (med bokstavene «LP» som er angitt i kolonne (8). Dersom kolonne (9a) ikke inneholder en kode som begynner med bokstaven «L» eller bokstavene «LL», gjelder ingen av de spesielle emballeringsbestemmelsene som er listet opp på slutten av aktuell emballeringsbestemmelse.</w:t>
      </w:r>
    </w:p>
    <w:p w14:paraId="486219CE" w14:textId="77777777" w:rsidR="00000000" w:rsidRDefault="00000000">
      <w:pPr>
        <w:pStyle w:val="b1fm1tt"/>
        <w:rPr>
          <w:rStyle w:val="LS2Fet"/>
          <w:b/>
          <w:bCs/>
        </w:rPr>
      </w:pPr>
      <w:r>
        <w:rPr>
          <w:rStyle w:val="LS2Fet"/>
          <w:b/>
          <w:bCs/>
        </w:rPr>
        <w:t>Kolonne (9b) Bestemmelser om samemballering</w:t>
      </w:r>
    </w:p>
    <w:p w14:paraId="7684D983" w14:textId="77777777" w:rsidR="00000000" w:rsidRDefault="00000000">
      <w:pPr>
        <w:pStyle w:val="b1af-f"/>
      </w:pPr>
      <w:r>
        <w:t xml:space="preserve">Inneholder den alfanumeriske koden for de spesielle bestemmelsene om samemballering som kommer til anvendelse. Disse kodene, som begynner med bokstavene «MP», er listet opp i 4.1.10 i nummerrekke­følge. Dersom kolonne (9b) ikke inneholder en kode som begynner med bokstavene «MP», gjelder bare de alminnelige bestemmelsene (se 4.1.1.5 og 4.1.1.6). </w:t>
      </w:r>
    </w:p>
    <w:p w14:paraId="61996316" w14:textId="77777777" w:rsidR="00000000" w:rsidRDefault="00000000">
      <w:pPr>
        <w:pStyle w:val="b1fm1tt"/>
        <w:rPr>
          <w:rStyle w:val="LS2Fet"/>
          <w:b/>
          <w:bCs/>
        </w:rPr>
      </w:pPr>
      <w:r>
        <w:rPr>
          <w:rStyle w:val="LS2Fet"/>
          <w:b/>
          <w:bCs/>
        </w:rPr>
        <w:t>Kolonne (10) Bestemmelser for multimodale tanker og bulkcontainere</w:t>
      </w:r>
    </w:p>
    <w:p w14:paraId="547B1D6E" w14:textId="77777777" w:rsidR="00000000" w:rsidRDefault="00000000">
      <w:pPr>
        <w:pStyle w:val="b1af-f"/>
      </w:pPr>
      <w:r>
        <w:t>Inneholder en alfanumerisk kode knyttet til en multimodal tank bestemmelse, i samsvar med 4.2.5.2.1 til 4.2.5.2.4 og 4.2.5.2.6. Denne multimodale tank bestemmelsen tilsvarer minimumskravene som kan aksepteres for transport av stoffet i multimodale tanker. Kodene som angir andre multimodale tank bestemmelser, som også er tillatt for transport av stoffet, finnes i 4.2.5.2.5. Dersom det ikke er oppgitt noen kode, er transport i multimodale tanker ikke tillatt med mindre det er gitt en godkjenning fra vedkommende myndighet som nærmere beskrevet i 6.7.1.3.</w:t>
      </w:r>
    </w:p>
    <w:p w14:paraId="1224E805" w14:textId="77777777" w:rsidR="00000000" w:rsidRDefault="00000000">
      <w:pPr>
        <w:pStyle w:val="b1af"/>
      </w:pPr>
      <w:r>
        <w:t>De alminnelige bestemmelsene for konstruksjon, utførelse, utstyr, typegodkjenning, prøving og merking av multimodale tanker finnes i kapittel 6.7. De alminnelige bestemmelsene for bruk (f.eks. fylling) finnes i 4.2.1 til 4.2.4.</w:t>
      </w:r>
    </w:p>
    <w:p w14:paraId="2CE5C03D" w14:textId="77777777" w:rsidR="00000000" w:rsidRDefault="00000000">
      <w:pPr>
        <w:pStyle w:val="b1aff"/>
      </w:pPr>
      <w:r>
        <w:t>For multimodale tanker med tankskall tilvirket i fiberarmert plast (FRP), se kapittel 6.9.</w:t>
      </w:r>
    </w:p>
    <w:p w14:paraId="050CB563" w14:textId="77777777" w:rsidR="00000000" w:rsidRDefault="00000000">
      <w:pPr>
        <w:pStyle w:val="b1aff"/>
      </w:pPr>
      <w:r>
        <w:t>Angivelse av «(M)» betyr at stoffet kan transporteres i UN-MEGC.</w:t>
      </w:r>
    </w:p>
    <w:p w14:paraId="5397468B" w14:textId="77777777" w:rsidR="00000000" w:rsidRDefault="00000000">
      <w:pPr>
        <w:pStyle w:val="b1af"/>
      </w:pPr>
      <w:r>
        <w:rPr>
          <w:rStyle w:val="LS2Fet"/>
        </w:rPr>
        <w:t>ANM:</w:t>
      </w:r>
      <w:r>
        <w:t xml:space="preserve"> Spesielle bestemmelser som er angitt i kolonne (11), kan endre de bestemmelsene som det er vist til ovenfor.</w:t>
      </w:r>
    </w:p>
    <w:p w14:paraId="6D7A2972" w14:textId="77777777" w:rsidR="00000000" w:rsidRDefault="00000000">
      <w:pPr>
        <w:pStyle w:val="b1aff"/>
      </w:pPr>
      <w:r>
        <w:t>Kan også inneholde alfanumeriske koder som begynner med bokstavene «BK», som angir type bulkcontainer beskrevet i kapittel 6.11 som er tillatt brukt til transport i bulk i samsvar med bestemmelsene i 7.3.1.1 (a) og 7.3.2.</w:t>
      </w:r>
    </w:p>
    <w:p w14:paraId="0294EA49" w14:textId="77777777" w:rsidR="00000000" w:rsidRDefault="00000000">
      <w:pPr>
        <w:pStyle w:val="b1fm1tt"/>
        <w:rPr>
          <w:rStyle w:val="LS2Fet"/>
          <w:b/>
          <w:bCs/>
        </w:rPr>
      </w:pPr>
      <w:r>
        <w:rPr>
          <w:rStyle w:val="LS2Fet"/>
          <w:b/>
          <w:bCs/>
        </w:rPr>
        <w:t>Kolonne (11) Spesielle bestemmelser for multimodale tanker og bulkcontainere</w:t>
      </w:r>
    </w:p>
    <w:p w14:paraId="25ECAD57" w14:textId="77777777" w:rsidR="00000000" w:rsidRDefault="00000000">
      <w:pPr>
        <w:pStyle w:val="b1af-f"/>
      </w:pPr>
      <w:r>
        <w:t>Inneholder alfanumeriske koder for de spesielle bestemmelsene om multimodale tanker som også skal følges. Disse kodene, som begynner med bokstavene «TP», viser til spesielle bestemmelser for konstruksjon eller bruk av disse multimodale tankene. De finnes i 4.2.5.3.</w:t>
      </w:r>
    </w:p>
    <w:p w14:paraId="03C2ACA4" w14:textId="77777777" w:rsidR="00000000" w:rsidRDefault="00000000">
      <w:pPr>
        <w:pStyle w:val="b1af"/>
      </w:pPr>
      <w:r>
        <w:rPr>
          <w:rStyle w:val="LS2Fet"/>
        </w:rPr>
        <w:t>ANM:</w:t>
      </w:r>
      <w:r>
        <w:t xml:space="preserve"> Når det er teknisk relevant, gjelder disse spesielle bestemmelsene ikke bare multimodale tanker spesifisert i kolonne (10), men også de multimodale tankene som er tillatt benyttet i henhold til tabellen i 4.2.5.2.5. </w:t>
      </w:r>
    </w:p>
    <w:p w14:paraId="5E65C560" w14:textId="77777777" w:rsidR="00000000" w:rsidRDefault="00000000">
      <w:pPr>
        <w:pStyle w:val="b1fm1tt"/>
        <w:rPr>
          <w:rStyle w:val="LS2Fet"/>
          <w:b/>
          <w:bCs/>
        </w:rPr>
      </w:pPr>
      <w:r>
        <w:rPr>
          <w:rStyle w:val="LS2Fet"/>
          <w:b/>
          <w:bCs/>
        </w:rPr>
        <w:t>Kolonne (12) Tankkoder for ADR\RID-tanker</w:t>
      </w:r>
    </w:p>
    <w:p w14:paraId="0151DDC1" w14:textId="77777777" w:rsidR="00000000" w:rsidRDefault="00000000">
      <w:pPr>
        <w:pStyle w:val="b1af-f"/>
      </w:pPr>
      <w:r>
        <w:t>Inneholder en alfanumerisk kode som beskriver en tanktype i samsvar med 4.3.3.1.1 (for gasser av klasse 2) eller 4.3.4.1.1 (for stoffer av klassene 3 til 9). Dette er en tanktype som representerer minstekravene ved transport av angjeldende stoff i ADR\RID-tanker. Koder som beskriver de andre tanktypene som kan godtas, finnes i 4.3.3.1.2 (for gasser av klasse 2) eller 4.3.4.1.2 (for stoffer av klassene 3 til 9). Dersom det ikke er oppgitt noen kode, er transport i ADR\RID-tanker ikke tillatt.</w:t>
      </w:r>
    </w:p>
    <w:p w14:paraId="3CB4DB7A" w14:textId="77777777" w:rsidR="00000000" w:rsidRDefault="00000000">
      <w:pPr>
        <w:pStyle w:val="b1af"/>
      </w:pPr>
      <w:r>
        <w:t>Dersom det i denne kolonnen står koden for faste stoffer (S) og for væsker (L), betyr det at dette stoffet får transporteres i tank i fast eller flytende (smeltet) form. Generelt gjelder denne bestemmelsen for stoffer med smeltepunkt fra 20 °C til 180 °C.</w:t>
      </w:r>
    </w:p>
    <w:p w14:paraId="0154B12A" w14:textId="77777777" w:rsidR="00000000" w:rsidRDefault="00000000">
      <w:pPr>
        <w:pStyle w:val="b1af"/>
      </w:pPr>
      <w:r>
        <w:t>Dersom det for et fast stoff bare er oppført tankkode for flytende stoff (L) betyr dette at stoffet bare blir transportert i tank i dets flytende (smeltet) form.</w:t>
      </w:r>
    </w:p>
    <w:p w14:paraId="291D4F08" w14:textId="77777777" w:rsidR="00000000" w:rsidRDefault="00000000">
      <w:pPr>
        <w:pStyle w:val="b1af"/>
      </w:pPr>
      <w:r>
        <w:t>De alminnelige bestemmelsene for utførelse, utstyr, typegodkjenning, prøving og merking som ikke er oppgitt i tankkoden, finnes i 6.8.1, 6.8.2, 6.8.3 og 6.8.5. De alminnelige bestemmelsene om bruk (f.eks. største fyllingsgrad, minste prøvetrykk) finnes i 4.3.1 til 4.3.4.</w:t>
      </w:r>
    </w:p>
    <w:p w14:paraId="646DB747" w14:textId="77777777" w:rsidR="00000000" w:rsidRDefault="00000000">
      <w:pPr>
        <w:pStyle w:val="b1af"/>
      </w:pPr>
      <w:r>
        <w:t>Dersom det står (M) etter tankkoden, betyr det at stoffet også får transporteres i batterikjøretøyer, batterivogner eller MEGCer.</w:t>
      </w:r>
    </w:p>
    <w:p w14:paraId="601D0E2C" w14:textId="77777777" w:rsidR="00000000" w:rsidRDefault="00000000">
      <w:pPr>
        <w:pStyle w:val="b1af"/>
      </w:pPr>
      <w:r>
        <w:t>Dersom det står (+) etter tankkoden, betyr det at alternativ bruk av tankene bare er tillatt når dette er innført i typegodkjenningssertifikatet.</w:t>
      </w:r>
    </w:p>
    <w:p w14:paraId="55B59B61" w14:textId="77777777" w:rsidR="00000000" w:rsidRDefault="00000000">
      <w:pPr>
        <w:pStyle w:val="b1affADR"/>
      </w:pPr>
      <w:r>
        <w:t>ADR: For tanker av fiberarmert plast, se 4.4.1 og kapittel 6.13.</w:t>
      </w:r>
    </w:p>
    <w:p w14:paraId="3316B992" w14:textId="77777777" w:rsidR="00000000" w:rsidRDefault="00000000">
      <w:pPr>
        <w:pStyle w:val="b1aff"/>
      </w:pPr>
      <w:r>
        <w:t>For slamsugere, se 4.5.1 og kapittel 6.10.</w:t>
      </w:r>
    </w:p>
    <w:p w14:paraId="09D9EE02" w14:textId="77777777" w:rsidR="00000000" w:rsidRDefault="00000000">
      <w:pPr>
        <w:pStyle w:val="b1af"/>
      </w:pPr>
      <w:r>
        <w:rPr>
          <w:rStyle w:val="LS2Fet"/>
        </w:rPr>
        <w:t xml:space="preserve">ANM: </w:t>
      </w:r>
      <w:r>
        <w:t>Spesielle bestemmelser som er angitt i kolonne (13), kan endre de bestemmelsene som det er vist til ovenfor.</w:t>
      </w:r>
    </w:p>
    <w:p w14:paraId="088C7FA6" w14:textId="77777777" w:rsidR="00000000" w:rsidRDefault="00000000">
      <w:pPr>
        <w:pStyle w:val="b1fm1tt"/>
        <w:rPr>
          <w:rStyle w:val="LS2Fet"/>
          <w:b/>
          <w:bCs/>
        </w:rPr>
      </w:pPr>
      <w:r>
        <w:rPr>
          <w:rStyle w:val="LS2Fet"/>
          <w:b/>
          <w:bCs/>
        </w:rPr>
        <w:t>Kolonne (13) Spesielle bestemmelser for ADR\RID-tanker</w:t>
      </w:r>
    </w:p>
    <w:p w14:paraId="1109AA45" w14:textId="77777777" w:rsidR="00000000" w:rsidRDefault="00000000">
      <w:pPr>
        <w:pStyle w:val="b1af-f"/>
      </w:pPr>
      <w:r>
        <w:t>Inneholder alfanumeriske koder for de spesielle bestemmelsene for ADR\RID-tanker som også skal følges:</w:t>
      </w:r>
    </w:p>
    <w:p w14:paraId="3AD5DDED" w14:textId="77777777" w:rsidR="00000000" w:rsidRDefault="00000000">
      <w:pPr>
        <w:pStyle w:val="b1lf"/>
      </w:pPr>
      <w:r>
        <w:t>–</w:t>
      </w:r>
      <w:r>
        <w:tab/>
        <w:t>alfanumeriske koder som begynner med bokstavene «TU», viser til spesielle bestemmelser om bruken av disse tankene. De finnes i 4.3.5.</w:t>
      </w:r>
    </w:p>
    <w:p w14:paraId="39AFA42A" w14:textId="77777777" w:rsidR="00000000" w:rsidRDefault="00000000">
      <w:pPr>
        <w:pStyle w:val="b1lf"/>
      </w:pPr>
      <w:r>
        <w:t>–</w:t>
      </w:r>
      <w:r>
        <w:tab/>
        <w:t xml:space="preserve">alfanumeriske koder som begynner med bokstavene «TC», viser til spesielle bestemmelser om utførelsen av disse tankene. De finnes i 6.8.4 (a). </w:t>
      </w:r>
    </w:p>
    <w:p w14:paraId="2239BBA6" w14:textId="77777777" w:rsidR="00000000" w:rsidRDefault="00000000">
      <w:pPr>
        <w:pStyle w:val="b1lf"/>
      </w:pPr>
      <w:r>
        <w:t>–</w:t>
      </w:r>
      <w:r>
        <w:tab/>
        <w:t>alfanumeriske koder som begynner med bokstavene «TE», viser til spesielle bestemmelser om utstyret på disse tankene. De finnes i 6.8.4 (b).</w:t>
      </w:r>
    </w:p>
    <w:p w14:paraId="1BE0815C" w14:textId="77777777" w:rsidR="00000000" w:rsidRDefault="00000000">
      <w:pPr>
        <w:pStyle w:val="b1lf"/>
      </w:pPr>
      <w:r>
        <w:t>–</w:t>
      </w:r>
      <w:r>
        <w:tab/>
        <w:t xml:space="preserve">alfanumeriske koder som begynner med bokstavene «TA», viser til spesielle bestemmelser om typegodkjenning av disse tankene. De finnes i 6.8.4 (c). </w:t>
      </w:r>
    </w:p>
    <w:p w14:paraId="0ECF66CA" w14:textId="77777777" w:rsidR="00000000" w:rsidRDefault="00000000">
      <w:pPr>
        <w:pStyle w:val="b1lf"/>
      </w:pPr>
      <w:r>
        <w:t>–</w:t>
      </w:r>
      <w:r>
        <w:tab/>
        <w:t xml:space="preserve">alfanumeriske koder som begynner med bokstavene «TT», viser til spesielle bestemmelser om prøving av disse tankene. De finnes i 6.8.4 (d). </w:t>
      </w:r>
    </w:p>
    <w:p w14:paraId="45A707FC" w14:textId="77777777" w:rsidR="00000000" w:rsidRDefault="00000000">
      <w:pPr>
        <w:pStyle w:val="b1lf"/>
      </w:pPr>
      <w:r>
        <w:t>–</w:t>
      </w:r>
      <w:r>
        <w:tab/>
        <w:t xml:space="preserve">alfanumeriske koder som begynner med bokstavene «TM», viser til spesielle bestemmelser om merking av disse tankene. De finnes i 6.8.4 (e). </w:t>
      </w:r>
    </w:p>
    <w:p w14:paraId="33EA15A8" w14:textId="77777777" w:rsidR="00000000" w:rsidRDefault="00000000">
      <w:pPr>
        <w:pStyle w:val="b1af"/>
      </w:pPr>
      <w:r>
        <w:rPr>
          <w:rStyle w:val="LS2Fet"/>
        </w:rPr>
        <w:t>ANM:</w:t>
      </w:r>
      <w:r>
        <w:t xml:space="preserve"> Når det er teknisk relevant gjelder disse spesielle bestemmelsene ikke bare multimodale tanker spesifisert i kolonne (12), men også for multimodale tanker som er tillatt benyttet i henhold til tabellen i 4.3.3.1.2 og 4.3.4.1.2. </w:t>
      </w:r>
    </w:p>
    <w:p w14:paraId="364D8FF8" w14:textId="77777777" w:rsidR="00000000" w:rsidRDefault="00000000">
      <w:pPr>
        <w:pStyle w:val="b1fm1tt"/>
        <w:rPr>
          <w:rStyle w:val="LS2Fet"/>
          <w:b/>
          <w:bCs/>
        </w:rPr>
      </w:pPr>
      <w:r>
        <w:rPr>
          <w:rStyle w:val="LS2Fet"/>
          <w:b/>
          <w:bCs/>
        </w:rPr>
        <w:t>Kolonne (14) Kjøretøy for tanktransport</w:t>
      </w:r>
    </w:p>
    <w:p w14:paraId="5898F0F0" w14:textId="77777777" w:rsidR="00000000" w:rsidRDefault="00000000">
      <w:pPr>
        <w:pStyle w:val="b1af-f"/>
      </w:pPr>
      <w:r>
        <w:t>Inneholder en kode som beskriver kjøretøyet (inkludert trekkjøretøyet for tilhengere og trekkvognen for semitrailere) (se 9.1.1) som skal benyttes ved transport av stoffet i tank i samsvar med 7.4.2. Bestemmelsene med hensyn til utførelse og godkjenning av kjøretøyer finnes i kapitlene 9.1, 9.2 og 9.7.</w:t>
      </w:r>
    </w:p>
    <w:p w14:paraId="7E600AD7" w14:textId="77777777" w:rsidR="00000000" w:rsidRDefault="00000000">
      <w:pPr>
        <w:pStyle w:val="b1fm1tt"/>
      </w:pPr>
      <w:r>
        <w:rPr>
          <w:rStyle w:val="LS2Fet"/>
          <w:b/>
          <w:bCs/>
        </w:rPr>
        <w:t xml:space="preserve">Kolonne (15) Transportkategori </w:t>
      </w:r>
      <w:r>
        <w:t>/ (kode for tunnelbegrensninger)</w:t>
      </w:r>
    </w:p>
    <w:p w14:paraId="458CCA46" w14:textId="77777777" w:rsidR="00000000" w:rsidRDefault="00000000">
      <w:pPr>
        <w:pStyle w:val="b1af-fADR"/>
      </w:pPr>
      <w:r>
        <w:t xml:space="preserve">ADR: Inneholder øverst i hver celle et tall som angir den transportkategorien som stoffet eller gjenstanden er tilordnet med hensyn til unntak knyttet til transportert mengde per transportenhet (se 1.1.3.6). </w:t>
      </w:r>
    </w:p>
    <w:p w14:paraId="4538B61F" w14:textId="77777777" w:rsidR="00000000" w:rsidRDefault="00000000">
      <w:pPr>
        <w:pStyle w:val="b1affRID"/>
      </w:pPr>
      <w:r>
        <w:t xml:space="preserve">RID: </w:t>
      </w:r>
      <w:r>
        <w:tab/>
        <w:t>Inneholder ett tall som indikerer hvilken transportkategori som stoffet eller gjenstanden er tilordnet når hensynet er å unnta transportoperasjoner utført av virksomheter i tilknytning til deres hovedvirksomhet (se 1.1.3.1. c).</w:t>
      </w:r>
    </w:p>
    <w:p w14:paraId="2BAFA32C" w14:textId="77777777" w:rsidR="00000000" w:rsidRDefault="00000000">
      <w:pPr>
        <w:pStyle w:val="b1affADR"/>
      </w:pPr>
      <w:r>
        <w:t>Når ingen transportkategori er tilordnet, er dette angitt ved benevnelsen «-».</w:t>
      </w:r>
    </w:p>
    <w:p w14:paraId="0C1395A5" w14:textId="77777777" w:rsidR="00000000" w:rsidRDefault="00000000">
      <w:pPr>
        <w:pStyle w:val="b1affADR"/>
        <w:spacing w:before="113"/>
      </w:pPr>
      <w:r>
        <w:t>ADR: Inneholder i bunnen av hver celle i parentes den tunnelbegrensningskode som angir de begrensninger som er lagt på kjøretøyer som transporterer stoffet eller gjenstanden for passering av vegtunneler. Disse begrensningene er beskrevet i kapitel 8.6. Dersom stoffet ikke er tilordnet en tunnelbegrensningskode er dette angitt med «(-)».</w:t>
      </w:r>
    </w:p>
    <w:p w14:paraId="6660996E" w14:textId="77777777" w:rsidR="00000000" w:rsidRDefault="00000000">
      <w:pPr>
        <w:pStyle w:val="b1fm1tt"/>
        <w:spacing w:before="170"/>
        <w:rPr>
          <w:rStyle w:val="LS2Fet"/>
          <w:b/>
          <w:bCs/>
        </w:rPr>
      </w:pPr>
      <w:r>
        <w:rPr>
          <w:rStyle w:val="LS2Fet"/>
          <w:b/>
          <w:bCs/>
        </w:rPr>
        <w:t>Kolonne (16) Spesielle transportbestemmelser – kolli</w:t>
      </w:r>
    </w:p>
    <w:p w14:paraId="22EAFD89" w14:textId="77777777" w:rsidR="00000000" w:rsidRDefault="00000000">
      <w:pPr>
        <w:pStyle w:val="b1af-f"/>
      </w:pPr>
      <w:r>
        <w:t>Inneholder den/de alfanumerisk(e) koden(e) som begynner med bokstaven «V»</w:t>
      </w:r>
      <w:r>
        <w:rPr>
          <w:rFonts w:cstheme="minorBidi"/>
          <w:color w:val="auto"/>
          <w:sz w:val="24"/>
          <w:szCs w:val="24"/>
          <w:lang w:val="en-GB"/>
        </w:rPr>
        <w:footnoteReference w:id="5"/>
      </w:r>
      <w:r>
        <w:t xml:space="preserve"> og angir de spesielle bestemmelsene for transport i kolli som (eventuelt) gjelder. De er opplistet i 7.2.4. Alminnelige bestemmelser om transport i kolli finnes i kapitlene 7.1 og 7.2.</w:t>
      </w:r>
    </w:p>
    <w:p w14:paraId="2C0D2BD1" w14:textId="77777777" w:rsidR="00000000" w:rsidRDefault="00000000">
      <w:pPr>
        <w:pStyle w:val="b1aff"/>
        <w:spacing w:before="113"/>
      </w:pPr>
      <w:r>
        <w:rPr>
          <w:rStyle w:val="LS2Fet"/>
        </w:rPr>
        <w:t xml:space="preserve">ANM: </w:t>
      </w:r>
      <w:r>
        <w:t>I tillegg gjelder de spesielle bestemmelsene om lasting, lossing og håndtering som er angitt i kolonne (18).</w:t>
      </w:r>
    </w:p>
    <w:p w14:paraId="1056A980" w14:textId="77777777" w:rsidR="00000000" w:rsidRDefault="00000000">
      <w:pPr>
        <w:pStyle w:val="b1fm1tt"/>
        <w:rPr>
          <w:rStyle w:val="LS2Fet"/>
          <w:b/>
          <w:bCs/>
        </w:rPr>
      </w:pPr>
      <w:r>
        <w:rPr>
          <w:rStyle w:val="LS2Fet"/>
          <w:b/>
          <w:bCs/>
        </w:rPr>
        <w:t>Kolonne (17) Spesielle transportbestemmelser – bulk</w:t>
      </w:r>
    </w:p>
    <w:p w14:paraId="67B14C4B" w14:textId="77777777" w:rsidR="00000000" w:rsidRDefault="00000000">
      <w:pPr>
        <w:pStyle w:val="b1af-f"/>
      </w:pPr>
      <w:r>
        <w:t>Inneholder den/de alfanumeriske koden(e), som begynner med bokstavene «VC», så vel som den/de alfanumeriske koden(e) som begynner med bokstavene «AP», for de aktuelle bestemmelsene for transport i bulk. De er listet opp i 7.3.3. Hvis ingen spesiell bestemmelse, angitt ved koden «VC» eller en referanse til en spesifikk paragraf som eksplisitt tillater denne transportmåten, er angitt i denne kolonnen og ingen spesiell bestemmelse, angitt ved koden «BK» eller en referanse til en spesifikk paragraf som eksplisitt tillater denne transportmåten, er angitt i kolonne 10, så er transport i bulk ikke tillatt.. Alminnelige og supplerende bestemmelser angående transport i bulk finnes i kapittel 7.1 og 7.3.</w:t>
      </w:r>
    </w:p>
    <w:p w14:paraId="17C8CD50" w14:textId="77777777" w:rsidR="00000000" w:rsidRDefault="00000000">
      <w:pPr>
        <w:pStyle w:val="b1aff"/>
      </w:pPr>
      <w:r>
        <w:rPr>
          <w:rStyle w:val="LS2Fet"/>
        </w:rPr>
        <w:t>ANM:</w:t>
      </w:r>
      <w:r>
        <w:t xml:space="preserve"> I tillegg skal de spesielle bestemmelsene oppgitt i kolonne 18 angående lasting, lossing og håndtering, overholdes.</w:t>
      </w:r>
    </w:p>
    <w:p w14:paraId="0D793767" w14:textId="77777777" w:rsidR="00000000" w:rsidRDefault="00000000">
      <w:pPr>
        <w:pStyle w:val="b1fm1tt"/>
        <w:rPr>
          <w:rStyle w:val="LS2Fet"/>
          <w:b/>
          <w:bCs/>
        </w:rPr>
      </w:pPr>
      <w:r>
        <w:rPr>
          <w:rStyle w:val="LS2Fet"/>
          <w:b/>
          <w:bCs/>
        </w:rPr>
        <w:t>Kolonne (18) Spesielle transportbestemmelser – lasting, lossing og håndtering</w:t>
      </w:r>
    </w:p>
    <w:p w14:paraId="7E4F2CE0" w14:textId="77777777" w:rsidR="00000000" w:rsidRDefault="00000000">
      <w:pPr>
        <w:pStyle w:val="b1af-f"/>
      </w:pPr>
      <w:r>
        <w:t>Inneholder den/de alfanumerisk(e) koden(e) som begynner med bokstavene «CV»</w:t>
      </w:r>
      <w:r>
        <w:rPr>
          <w:rStyle w:val="LS2Hevet"/>
        </w:rPr>
        <w:t>1</w:t>
      </w:r>
      <w:r>
        <w:t xml:space="preserve"> og som angir de spesielle bestemmelsene for lasting, lossing og håndtering som gjelder. De er opplistet i 7.5.11. Dersom det ikke er angitt en kode, gjelder bare de alminnelige bestemmelsene (se 7.5.1 til 7.5. 10).</w:t>
      </w:r>
    </w:p>
    <w:p w14:paraId="3E799200" w14:textId="77777777" w:rsidR="00000000" w:rsidRDefault="00000000">
      <w:pPr>
        <w:pStyle w:val="b1affADR"/>
        <w:rPr>
          <w:rStyle w:val="LS2FetADR"/>
        </w:rPr>
      </w:pPr>
      <w:r>
        <w:rPr>
          <w:rStyle w:val="LS2FetADR"/>
        </w:rPr>
        <w:t>ADR: Kolonne (19) Spesielle bestemmelser om gjennomføring av transporten</w:t>
      </w:r>
    </w:p>
    <w:p w14:paraId="58E2D0CE" w14:textId="77777777" w:rsidR="00000000" w:rsidRDefault="00000000">
      <w:pPr>
        <w:pStyle w:val="b1af-fADR"/>
      </w:pPr>
      <w:r>
        <w:t>Inneholder den/de alfanumerisk(e) koden(e) som begynner med bokstaven «S» og som angir de spesielle bestemmelsene for lasting, lossing og håndtering som gjelder. De er opplistet i kapittel 8.5. Disse bestemmelsene kommer i tillegg til bestemmelsene i kapitlene 8.1 til 8.4, men dersom de spesielle bestemmelsene er i motstrid med bestemmelsene i kapitlene 8.1 til 8.4, er det de spesielle bestemmelsene som skal gjelde.</w:t>
      </w:r>
    </w:p>
    <w:p w14:paraId="107161A1" w14:textId="77777777" w:rsidR="00000000" w:rsidRDefault="00000000">
      <w:pPr>
        <w:pStyle w:val="b1affRID"/>
      </w:pPr>
      <w:r>
        <w:t xml:space="preserve">RID: </w:t>
      </w:r>
      <w:r>
        <w:tab/>
        <w:t>Kolonne 19 Ekspressgods</w:t>
      </w:r>
    </w:p>
    <w:p w14:paraId="68BB1B74" w14:textId="77777777" w:rsidR="00000000" w:rsidRDefault="00000000">
      <w:pPr>
        <w:pStyle w:val="b1affRID"/>
      </w:pPr>
      <w:r>
        <w:t xml:space="preserve">RID: </w:t>
      </w:r>
      <w:r>
        <w:tab/>
        <w:t>Denne kolonnen inneholder de alfanumeriske kodene for de bestemmelsene som får anvendelse for forsendelse som ekspressgods. Disse kodene, som begynner med bokstavene «CE» er oppført i nummerrekkefølge i kapittel 7.6. Når det ikke finnes en kode som begynner med bokstavene «CE» i kolonne 19, får angjeldende farlige gods ikke transporteres som eks-pressgods.</w:t>
      </w:r>
    </w:p>
    <w:p w14:paraId="6D19134B" w14:textId="77777777" w:rsidR="00000000" w:rsidRDefault="00000000">
      <w:pPr>
        <w:pStyle w:val="b1fm1tt"/>
        <w:rPr>
          <w:rStyle w:val="LS2Fet"/>
          <w:b/>
          <w:bCs/>
        </w:rPr>
      </w:pPr>
      <w:r>
        <w:rPr>
          <w:rStyle w:val="LS2Fet"/>
          <w:b/>
          <w:bCs/>
        </w:rPr>
        <w:t>Kolonne (20) Farenummer</w:t>
      </w:r>
    </w:p>
    <w:p w14:paraId="7606227F" w14:textId="77777777" w:rsidR="00CE4953" w:rsidRDefault="00000000">
      <w:pPr>
        <w:pStyle w:val="b1af-f"/>
      </w:pPr>
      <w:r>
        <w:t>Inneholder et to eller tresifret tall (i noen tilfelle med bokstaven «X» foran) for stoffer og gjenstander i klassene 2 til 9, og for stoffer og gjenstander i klasse 1, klassifiseringskoden (se kolonne (3b)). Under de omstendigheter som er beskrevet i 5.3.2.1, skal dette nummeret vises på øvre halvdel av de oransje skiltene. Betydningen av farenummer er forklart i 5.3.2.3.</w:t>
      </w:r>
    </w:p>
    <w:sectPr w:rsidR="00CE4953">
      <w:pgSz w:w="9638" w:h="13606"/>
      <w:pgMar w:top="1276" w:right="567" w:bottom="1276" w:left="68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7BF37F" w14:textId="77777777" w:rsidR="00CE4953" w:rsidRDefault="00CE4953">
      <w:pPr>
        <w:spacing w:after="0" w:line="240" w:lineRule="auto"/>
      </w:pPr>
      <w:r>
        <w:separator/>
      </w:r>
    </w:p>
  </w:endnote>
  <w:endnote w:type="continuationSeparator" w:id="0">
    <w:p w14:paraId="66810982" w14:textId="77777777" w:rsidR="00CE4953" w:rsidRDefault="00CE4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500000000020000"/>
    <w:charset w:val="4D"/>
    <w:family w:val="auto"/>
    <w:notTrueType/>
    <w:pitch w:val="default"/>
    <w:sig w:usb0="00000003" w:usb1="00000000" w:usb2="00000000" w:usb3="00000000" w:csb0="00000001" w:csb1="00000000"/>
  </w:font>
  <w:font w:name="Minion Pro">
    <w:panose1 w:val="020B0604020202020204"/>
    <w:charset w:val="00"/>
    <w:family w:val="roman"/>
    <w:notTrueType/>
    <w:pitch w:val="variable"/>
    <w:sig w:usb0="60000287" w:usb1="00000001" w:usb2="00000000" w:usb3="00000000" w:csb0="0000019F" w:csb1="00000000"/>
  </w:font>
  <w:font w:name="MyriadPro-Regular">
    <w:altName w:val="Calibri"/>
    <w:panose1 w:val="020B0604020202020204"/>
    <w:charset w:val="4D"/>
    <w:family w:val="auto"/>
    <w:pitch w:val="default"/>
    <w:sig w:usb0="00000003" w:usb1="00000000" w:usb2="00000000" w:usb3="00000000" w:csb0="00000001" w:csb1="00000000"/>
  </w:font>
  <w:font w:name="Minion Pro SmBd">
    <w:panose1 w:val="02040603060201020203"/>
    <w:charset w:val="00"/>
    <w:family w:val="roman"/>
    <w:notTrueType/>
    <w:pitch w:val="variable"/>
    <w:sig w:usb0="60000287" w:usb1="00000001" w:usb2="00000000" w:usb3="00000000" w:csb0="0000019F" w:csb1="00000000"/>
  </w:font>
  <w:font w:name="MyriadPro-Light">
    <w:altName w:val="Calibri"/>
    <w:panose1 w:val="020B0604020202020204"/>
    <w:charset w:val="4D"/>
    <w:family w:val="auto"/>
    <w:pitch w:val="default"/>
    <w:sig w:usb0="000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97A1CA" w14:textId="77777777" w:rsidR="00CE4953" w:rsidRDefault="00CE4953">
      <w:pPr>
        <w:spacing w:after="0" w:line="240" w:lineRule="auto"/>
      </w:pPr>
      <w:r>
        <w:separator/>
      </w:r>
    </w:p>
  </w:footnote>
  <w:footnote w:type="continuationSeparator" w:id="0">
    <w:p w14:paraId="15C30539" w14:textId="77777777" w:rsidR="00CE4953" w:rsidRDefault="00CE4953">
      <w:pPr>
        <w:spacing w:after="0" w:line="240" w:lineRule="auto"/>
      </w:pPr>
      <w:r>
        <w:continuationSeparator/>
      </w:r>
    </w:p>
  </w:footnote>
  <w:footnote w:id="1">
    <w:p w14:paraId="2264945C" w14:textId="77777777" w:rsidR="00000000" w:rsidRDefault="00000000">
      <w:pPr>
        <w:pStyle w:val="fn1lf"/>
      </w:pPr>
      <w:r>
        <w:footnoteRef/>
      </w:r>
      <w:r>
        <w:tab/>
        <w:t>Se alfabetisk liste i Tabell B i kapittel 3.2, f.eks.: NITROXYLENER, FLYTENDE 6.1 1665 ­NITROXYLENER, I FAST FORM 6.1 3447</w:t>
      </w:r>
    </w:p>
    <w:p w14:paraId="079C61B8" w14:textId="77777777" w:rsidR="00000000" w:rsidRDefault="00000000">
      <w:pPr>
        <w:pStyle w:val="fn1lf"/>
      </w:pPr>
    </w:p>
  </w:footnote>
  <w:footnote w:id="2">
    <w:p w14:paraId="155D9096" w14:textId="77777777" w:rsidR="00000000" w:rsidRDefault="00000000">
      <w:pPr>
        <w:pStyle w:val="fn1lf"/>
      </w:pPr>
      <w:r>
        <w:footnoteRef/>
      </w:r>
      <w:r>
        <w:tab/>
        <w:t>For definisjonene av selvakselererende polymerisasjonstemperatur(SAPT), se 1.2.1.</w:t>
      </w:r>
    </w:p>
    <w:p w14:paraId="41807B92" w14:textId="77777777" w:rsidR="00000000" w:rsidRDefault="00000000">
      <w:pPr>
        <w:pStyle w:val="fn1lf"/>
      </w:pPr>
    </w:p>
  </w:footnote>
  <w:footnote w:id="3">
    <w:p w14:paraId="791168E7" w14:textId="77777777" w:rsidR="00000000" w:rsidRDefault="00000000">
      <w:pPr>
        <w:pStyle w:val="fn1lf"/>
        <w:rPr>
          <w:rStyle w:val="LS2FetRID"/>
        </w:rPr>
      </w:pPr>
      <w:r>
        <w:footnoteRef/>
      </w:r>
      <w:r>
        <w:tab/>
      </w:r>
      <w:r>
        <w:rPr>
          <w:rStyle w:val="LS2FetRID"/>
        </w:rPr>
        <w:t>RID: Dette gjelder for alle stoffer (inkludert stoffer som er stabilisert med kjemiske inhibitorer) hvis selvakselererende dekomponeringstemperatur (SADT), eller selvakselererende polymerisasjonstemperatur (SAPT), i den omslutningen som benyttes for transport, ikke overstiger 50 °C.</w:t>
      </w:r>
    </w:p>
    <w:p w14:paraId="2BF25018" w14:textId="77777777" w:rsidR="00000000" w:rsidRDefault="00000000">
      <w:pPr>
        <w:pStyle w:val="fn1lf"/>
      </w:pPr>
    </w:p>
  </w:footnote>
  <w:footnote w:id="4">
    <w:p w14:paraId="09F76B09" w14:textId="77777777" w:rsidR="00000000" w:rsidRDefault="00000000">
      <w:pPr>
        <w:pStyle w:val="fn1lf"/>
      </w:pPr>
      <w:r>
        <w:footnoteRef/>
      </w:r>
      <w:r>
        <w:tab/>
        <w:t>x = klassenummer for det farlige stoffet eller den farlige gjenstanden, uten eventuelt skilletegn.</w:t>
      </w:r>
    </w:p>
    <w:p w14:paraId="73D1E23A" w14:textId="77777777" w:rsidR="00000000" w:rsidRDefault="00000000">
      <w:pPr>
        <w:pStyle w:val="fn1lf"/>
      </w:pPr>
    </w:p>
  </w:footnote>
  <w:footnote w:id="5">
    <w:p w14:paraId="55E0C07B" w14:textId="77777777" w:rsidR="00000000" w:rsidRDefault="00000000">
      <w:pPr>
        <w:pStyle w:val="fn1lf"/>
      </w:pPr>
      <w:r>
        <w:footnoteRef/>
      </w:r>
      <w:r>
        <w:tab/>
        <w:t>I denne norske utgaven av RID brukes bokstavene V (=vogn) mens det i tysk og engelsk utgave brukes bokstaven W (=wagen/wagon). Dette betyr at det i denne norske utgaven av ADR og RID benyttes samme kode for RID bestemmelsene som for ADR bestemmelsene</w:t>
      </w:r>
    </w:p>
    <w:p w14:paraId="2A4520CD" w14:textId="77777777" w:rsidR="00000000" w:rsidRDefault="00000000">
      <w:pPr>
        <w:pStyle w:val="fn1lf"/>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60"/>
  <w:embedSystemFonts/>
  <w:bordersDoNotSurroundHeader/>
  <w:bordersDoNotSurroundFooter/>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37C"/>
    <w:rsid w:val="00417839"/>
    <w:rsid w:val="0083391F"/>
    <w:rsid w:val="00BD337C"/>
    <w:rsid w:val="00CE4953"/>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133697EB"/>
  <w14:defaultImageDpi w14:val="0"/>
  <w15:docId w15:val="{12E67A1A-5B27-C34C-90EE-620EDE044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O"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after="0" w:line="288" w:lineRule="auto"/>
      <w:textAlignment w:val="center"/>
    </w:pPr>
    <w:rPr>
      <w:rFonts w:ascii="Times-Roman" w:hAnsi="Times-Roman" w:cs="Times-Roman"/>
      <w:color w:val="000000"/>
      <w:kern w:val="0"/>
      <w:lang w:val="en-GB"/>
    </w:rPr>
  </w:style>
  <w:style w:type="paragraph" w:customStyle="1" w:styleId="Primaryfont">
    <w:name w:val="Primary font"/>
    <w:basedOn w:val="NoParagraphStyle"/>
    <w:uiPriority w:val="99"/>
    <w:pPr>
      <w:suppressAutoHyphens/>
      <w:spacing w:line="200" w:lineRule="atLeast"/>
    </w:pPr>
    <w:rPr>
      <w:rFonts w:ascii="Minion Pro" w:hAnsi="Minion Pro" w:cs="Minion Pro"/>
      <w:sz w:val="18"/>
      <w:szCs w:val="18"/>
      <w:lang w:val="nb-NO"/>
    </w:rPr>
  </w:style>
  <w:style w:type="paragraph" w:customStyle="1" w:styleId="del1titts">
    <w:name w:val="del1titt_s"/>
    <w:basedOn w:val="Primaryfont"/>
    <w:uiPriority w:val="99"/>
    <w:pPr>
      <w:spacing w:line="288" w:lineRule="auto"/>
      <w:jc w:val="center"/>
    </w:pPr>
    <w:rPr>
      <w:b/>
      <w:bCs/>
      <w:sz w:val="40"/>
      <w:szCs w:val="40"/>
    </w:rPr>
  </w:style>
  <w:style w:type="paragraph" w:customStyle="1" w:styleId="del1starts">
    <w:name w:val="del1start_s"/>
    <w:basedOn w:val="del1titts"/>
    <w:uiPriority w:val="99"/>
    <w:pPr>
      <w:pageBreakBefore/>
    </w:pPr>
    <w:rPr>
      <w:sz w:val="2"/>
      <w:szCs w:val="2"/>
    </w:rPr>
  </w:style>
  <w:style w:type="paragraph" w:customStyle="1" w:styleId="del1nums">
    <w:name w:val="del1num_s"/>
    <w:basedOn w:val="del1titts"/>
    <w:uiPriority w:val="99"/>
    <w:pPr>
      <w:suppressAutoHyphens w:val="0"/>
      <w:spacing w:after="340"/>
    </w:pPr>
  </w:style>
  <w:style w:type="paragraph" w:customStyle="1" w:styleId="Secondaryfont">
    <w:name w:val="Secondary font"/>
    <w:basedOn w:val="NoParagraphStyle"/>
    <w:uiPriority w:val="99"/>
    <w:pPr>
      <w:suppressAutoHyphens/>
    </w:pPr>
    <w:rPr>
      <w:rFonts w:ascii="MyriadPro-Regular" w:hAnsi="MyriadPro-Regular" w:cs="MyriadPro-Regular"/>
      <w:sz w:val="20"/>
      <w:szCs w:val="20"/>
      <w:lang w:val="nb-NO"/>
    </w:rPr>
  </w:style>
  <w:style w:type="paragraph" w:customStyle="1" w:styleId="kap1starts">
    <w:name w:val="kap1start_s"/>
    <w:basedOn w:val="Secondaryfont"/>
    <w:next w:val="kap1titts"/>
    <w:uiPriority w:val="99"/>
    <w:pPr>
      <w:pageBreakBefore/>
    </w:pPr>
    <w:rPr>
      <w:rFonts w:ascii="Minion Pro" w:hAnsi="Minion Pro" w:cs="Minion Pro"/>
      <w:outline/>
      <w:sz w:val="2"/>
      <w:szCs w:val="2"/>
      <w14:textOutline w14:w="9525" w14:cap="flat" w14:cmpd="sng" w14:algn="ctr">
        <w14:solidFill>
          <w14:srgbClr w14:val="000000"/>
        </w14:solidFill>
        <w14:prstDash w14:val="solid"/>
        <w14:round/>
      </w14:textOutline>
      <w14:textFill>
        <w14:noFill/>
      </w14:textFill>
    </w:rPr>
  </w:style>
  <w:style w:type="paragraph" w:customStyle="1" w:styleId="kap1titts">
    <w:name w:val="kap1titt_s"/>
    <w:basedOn w:val="Primaryfont"/>
    <w:uiPriority w:val="99"/>
    <w:pPr>
      <w:spacing w:after="720" w:line="288" w:lineRule="auto"/>
      <w:jc w:val="center"/>
    </w:pPr>
    <w:rPr>
      <w:rFonts w:ascii="Minion Pro SmBd" w:hAnsi="Minion Pro SmBd" w:cs="Minion Pro SmBd"/>
      <w:sz w:val="30"/>
      <w:szCs w:val="30"/>
    </w:rPr>
  </w:style>
  <w:style w:type="paragraph" w:customStyle="1" w:styleId="kap1nums">
    <w:name w:val="kap1num_s"/>
    <w:basedOn w:val="kap1titts"/>
    <w:next w:val="kap1titts"/>
    <w:uiPriority w:val="99"/>
    <w:pPr>
      <w:spacing w:after="57"/>
    </w:pPr>
    <w:rPr>
      <w:rFonts w:ascii="Minion Pro" w:hAnsi="Minion Pro" w:cs="Minion Pro"/>
      <w:b/>
      <w:bCs/>
      <w:sz w:val="24"/>
      <w:szCs w:val="24"/>
    </w:rPr>
  </w:style>
  <w:style w:type="paragraph" w:customStyle="1" w:styleId="m1tt">
    <w:name w:val="m1t_t"/>
    <w:basedOn w:val="Primaryfont"/>
    <w:next w:val="b1af-f"/>
    <w:uiPriority w:val="99"/>
    <w:pPr>
      <w:keepNext/>
      <w:keepLines/>
      <w:tabs>
        <w:tab w:val="left" w:pos="227"/>
        <w:tab w:val="left" w:pos="454"/>
        <w:tab w:val="left" w:pos="680"/>
        <w:tab w:val="left" w:pos="907"/>
        <w:tab w:val="left" w:pos="1134"/>
        <w:tab w:val="left" w:pos="1361"/>
        <w:tab w:val="left" w:pos="1587"/>
        <w:tab w:val="left" w:pos="1814"/>
        <w:tab w:val="left" w:pos="2041"/>
        <w:tab w:val="left" w:pos="2268"/>
        <w:tab w:val="left" w:pos="2494"/>
        <w:tab w:val="left" w:pos="2721"/>
        <w:tab w:val="left" w:pos="2948"/>
        <w:tab w:val="left" w:pos="3175"/>
        <w:tab w:val="left" w:pos="3402"/>
        <w:tab w:val="left" w:pos="3628"/>
        <w:tab w:val="left" w:pos="3855"/>
        <w:tab w:val="left" w:pos="4082"/>
        <w:tab w:val="left" w:pos="4309"/>
      </w:tabs>
      <w:spacing w:before="590" w:after="57" w:line="288" w:lineRule="auto"/>
    </w:pPr>
    <w:rPr>
      <w:b/>
      <w:bCs/>
      <w:sz w:val="22"/>
      <w:szCs w:val="22"/>
    </w:rPr>
  </w:style>
  <w:style w:type="paragraph" w:customStyle="1" w:styleId="m2tt">
    <w:name w:val="m2t_t"/>
    <w:basedOn w:val="m1tt"/>
    <w:uiPriority w:val="99"/>
    <w:pPr>
      <w:tabs>
        <w:tab w:val="clear" w:pos="227"/>
        <w:tab w:val="clear" w:pos="454"/>
        <w:tab w:val="clear" w:pos="680"/>
        <w:tab w:val="clear" w:pos="907"/>
        <w:tab w:val="clear" w:pos="1134"/>
        <w:tab w:val="clear" w:pos="1361"/>
        <w:tab w:val="clear" w:pos="1587"/>
        <w:tab w:val="clear" w:pos="1814"/>
        <w:tab w:val="clear" w:pos="2041"/>
        <w:tab w:val="clear" w:pos="2268"/>
        <w:tab w:val="clear" w:pos="2494"/>
        <w:tab w:val="clear" w:pos="2721"/>
        <w:tab w:val="clear" w:pos="2948"/>
        <w:tab w:val="clear" w:pos="3175"/>
        <w:tab w:val="clear" w:pos="3402"/>
        <w:tab w:val="clear" w:pos="3628"/>
        <w:tab w:val="clear" w:pos="3855"/>
        <w:tab w:val="clear" w:pos="4082"/>
        <w:tab w:val="clear" w:pos="4309"/>
        <w:tab w:val="left" w:pos="964"/>
      </w:tabs>
      <w:spacing w:before="290" w:after="0"/>
      <w:ind w:left="964"/>
    </w:pPr>
  </w:style>
  <w:style w:type="paragraph" w:customStyle="1" w:styleId="m2tnt">
    <w:name w:val="m2tn_t"/>
    <w:basedOn w:val="m2tt"/>
    <w:uiPriority w:val="99"/>
    <w:pPr>
      <w:ind w:hanging="964"/>
    </w:pPr>
  </w:style>
  <w:style w:type="paragraph" w:customStyle="1" w:styleId="b1af">
    <w:name w:val="b1a_f"/>
    <w:basedOn w:val="Primaryfont"/>
    <w:uiPriority w:val="99"/>
    <w:pPr>
      <w:tabs>
        <w:tab w:val="left" w:pos="454"/>
        <w:tab w:val="left" w:pos="680"/>
        <w:tab w:val="left" w:pos="907"/>
        <w:tab w:val="left" w:pos="1134"/>
        <w:tab w:val="left" w:pos="1361"/>
        <w:tab w:val="left" w:pos="1587"/>
        <w:tab w:val="left" w:pos="1814"/>
        <w:tab w:val="left" w:pos="2041"/>
        <w:tab w:val="left" w:pos="2268"/>
        <w:tab w:val="left" w:pos="2494"/>
        <w:tab w:val="left" w:pos="2721"/>
        <w:tab w:val="left" w:pos="2948"/>
        <w:tab w:val="left" w:pos="3175"/>
        <w:tab w:val="left" w:pos="3402"/>
        <w:tab w:val="left" w:pos="3628"/>
        <w:tab w:val="left" w:pos="3855"/>
        <w:tab w:val="left" w:pos="4082"/>
        <w:tab w:val="left" w:pos="4309"/>
        <w:tab w:val="left" w:pos="4535"/>
        <w:tab w:val="left" w:pos="4762"/>
        <w:tab w:val="left" w:pos="4989"/>
        <w:tab w:val="left" w:pos="5216"/>
        <w:tab w:val="left" w:pos="5443"/>
        <w:tab w:val="left" w:pos="5669"/>
        <w:tab w:val="left" w:pos="5896"/>
        <w:tab w:val="left" w:pos="6123"/>
      </w:tabs>
      <w:suppressAutoHyphens w:val="0"/>
      <w:spacing w:before="200" w:line="288" w:lineRule="auto"/>
      <w:ind w:left="964"/>
      <w:jc w:val="both"/>
    </w:pPr>
  </w:style>
  <w:style w:type="paragraph" w:customStyle="1" w:styleId="b1af-f">
    <w:name w:val="b1af-_f"/>
    <w:basedOn w:val="b1af"/>
    <w:next w:val="b1af"/>
    <w:uiPriority w:val="99"/>
    <w:pPr>
      <w:tabs>
        <w:tab w:val="clear" w:pos="454"/>
        <w:tab w:val="clear" w:pos="680"/>
        <w:tab w:val="clear" w:pos="907"/>
        <w:tab w:val="clear" w:pos="1134"/>
        <w:tab w:val="clear" w:pos="1361"/>
        <w:tab w:val="clear" w:pos="1587"/>
        <w:tab w:val="clear" w:pos="1814"/>
        <w:tab w:val="clear" w:pos="2041"/>
        <w:tab w:val="clear" w:pos="2268"/>
        <w:tab w:val="clear" w:pos="2494"/>
        <w:tab w:val="clear" w:pos="2721"/>
        <w:tab w:val="clear" w:pos="2948"/>
        <w:tab w:val="clear" w:pos="3175"/>
        <w:tab w:val="clear" w:pos="3402"/>
        <w:tab w:val="clear" w:pos="3628"/>
        <w:tab w:val="clear" w:pos="3855"/>
        <w:tab w:val="clear" w:pos="4082"/>
        <w:tab w:val="clear" w:pos="4309"/>
        <w:tab w:val="clear" w:pos="4535"/>
        <w:tab w:val="clear" w:pos="4762"/>
        <w:tab w:val="clear" w:pos="4989"/>
        <w:tab w:val="clear" w:pos="5216"/>
        <w:tab w:val="clear" w:pos="5443"/>
        <w:tab w:val="clear" w:pos="5669"/>
        <w:tab w:val="clear" w:pos="5896"/>
        <w:tab w:val="clear" w:pos="6123"/>
        <w:tab w:val="left" w:pos="210"/>
        <w:tab w:val="left" w:pos="420"/>
        <w:tab w:val="left" w:pos="630"/>
        <w:tab w:val="left" w:pos="840"/>
        <w:tab w:val="left" w:pos="1050"/>
        <w:tab w:val="left" w:pos="1260"/>
        <w:tab w:val="left" w:pos="1470"/>
        <w:tab w:val="left" w:pos="1680"/>
        <w:tab w:val="left" w:pos="1890"/>
        <w:tab w:val="left" w:pos="2100"/>
        <w:tab w:val="left" w:pos="2310"/>
        <w:tab w:val="left" w:pos="2520"/>
        <w:tab w:val="left" w:pos="2730"/>
        <w:tab w:val="left" w:pos="2940"/>
        <w:tab w:val="left" w:pos="3150"/>
        <w:tab w:val="left" w:pos="3360"/>
        <w:tab w:val="left" w:pos="3570"/>
        <w:tab w:val="left" w:pos="3780"/>
        <w:tab w:val="left" w:pos="3990"/>
        <w:tab w:val="left" w:pos="4200"/>
        <w:tab w:val="left" w:pos="4410"/>
        <w:tab w:val="left" w:pos="4620"/>
        <w:tab w:val="left" w:pos="4830"/>
        <w:tab w:val="left" w:pos="5040"/>
        <w:tab w:val="left" w:pos="5250"/>
        <w:tab w:val="left" w:pos="5460"/>
        <w:tab w:val="left" w:pos="5670"/>
        <w:tab w:val="left" w:pos="5880"/>
        <w:tab w:val="left" w:pos="6090"/>
        <w:tab w:val="left" w:pos="6300"/>
        <w:tab w:val="left" w:pos="6510"/>
        <w:tab w:val="left" w:pos="6720"/>
      </w:tabs>
      <w:spacing w:before="0"/>
    </w:pPr>
  </w:style>
  <w:style w:type="paragraph" w:customStyle="1" w:styleId="m2tntnrimarg">
    <w:name w:val="m2tn_t!nr i marg"/>
    <w:basedOn w:val="m2tnt"/>
    <w:uiPriority w:val="99"/>
    <w:pPr>
      <w:spacing w:before="0"/>
    </w:pPr>
    <w:rPr>
      <w:sz w:val="18"/>
      <w:szCs w:val="18"/>
    </w:rPr>
  </w:style>
  <w:style w:type="paragraph" w:customStyle="1" w:styleId="m3tntnrimarg">
    <w:name w:val="m3tn_t!nr i marg"/>
    <w:basedOn w:val="m2tntnrimarg"/>
    <w:uiPriority w:val="99"/>
  </w:style>
  <w:style w:type="paragraph" w:customStyle="1" w:styleId="b1lf">
    <w:name w:val="b1l_f"/>
    <w:basedOn w:val="b1af-f"/>
    <w:uiPriority w:val="99"/>
    <w:pPr>
      <w:tabs>
        <w:tab w:val="clear" w:pos="210"/>
        <w:tab w:val="clear" w:pos="420"/>
        <w:tab w:val="clear" w:pos="630"/>
        <w:tab w:val="clear" w:pos="840"/>
        <w:tab w:val="clear" w:pos="1050"/>
        <w:tab w:val="clear" w:pos="1260"/>
        <w:tab w:val="clear" w:pos="1470"/>
        <w:tab w:val="clear" w:pos="1680"/>
        <w:tab w:val="clear" w:pos="1890"/>
        <w:tab w:val="clear" w:pos="2100"/>
        <w:tab w:val="clear" w:pos="2310"/>
        <w:tab w:val="clear" w:pos="2520"/>
        <w:tab w:val="clear" w:pos="2730"/>
        <w:tab w:val="clear" w:pos="2940"/>
        <w:tab w:val="clear" w:pos="3150"/>
        <w:tab w:val="clear" w:pos="3360"/>
        <w:tab w:val="clear" w:pos="3570"/>
        <w:tab w:val="clear" w:pos="3780"/>
        <w:tab w:val="clear" w:pos="3990"/>
        <w:tab w:val="clear" w:pos="4200"/>
        <w:tab w:val="clear" w:pos="4410"/>
        <w:tab w:val="clear" w:pos="4620"/>
        <w:tab w:val="clear" w:pos="4830"/>
        <w:tab w:val="clear" w:pos="5040"/>
        <w:tab w:val="clear" w:pos="5250"/>
        <w:tab w:val="clear" w:pos="5460"/>
        <w:tab w:val="clear" w:pos="5670"/>
        <w:tab w:val="clear" w:pos="5880"/>
        <w:tab w:val="clear" w:pos="6090"/>
        <w:tab w:val="clear" w:pos="6300"/>
        <w:tab w:val="clear" w:pos="6510"/>
        <w:tab w:val="clear" w:pos="6720"/>
        <w:tab w:val="left" w:pos="1191"/>
      </w:tabs>
      <w:ind w:left="1191" w:hanging="227"/>
    </w:pPr>
  </w:style>
  <w:style w:type="paragraph" w:customStyle="1" w:styleId="b2lf">
    <w:name w:val="b2l_f"/>
    <w:basedOn w:val="b1lf"/>
    <w:uiPriority w:val="99"/>
    <w:pPr>
      <w:tabs>
        <w:tab w:val="clear" w:pos="1191"/>
        <w:tab w:val="left" w:pos="1049"/>
        <w:tab w:val="left" w:pos="1259"/>
        <w:tab w:val="left" w:pos="1469"/>
        <w:tab w:val="left" w:pos="1679"/>
        <w:tab w:val="left" w:pos="1889"/>
        <w:tab w:val="left" w:pos="2099"/>
        <w:tab w:val="left" w:pos="2309"/>
        <w:tab w:val="left" w:pos="2519"/>
        <w:tab w:val="left" w:pos="2729"/>
        <w:tab w:val="left" w:pos="2939"/>
        <w:tab w:val="left" w:pos="3149"/>
        <w:tab w:val="left" w:pos="3359"/>
        <w:tab w:val="left" w:pos="3569"/>
        <w:tab w:val="left" w:pos="3779"/>
        <w:tab w:val="left" w:pos="3989"/>
        <w:tab w:val="left" w:pos="4199"/>
        <w:tab w:val="left" w:pos="4409"/>
        <w:tab w:val="left" w:pos="4619"/>
        <w:tab w:val="left" w:pos="4829"/>
        <w:tab w:val="left" w:pos="5039"/>
        <w:tab w:val="left" w:pos="5249"/>
        <w:tab w:val="left" w:pos="5459"/>
        <w:tab w:val="left" w:pos="5669"/>
        <w:tab w:val="left" w:pos="5879"/>
        <w:tab w:val="left" w:pos="6089"/>
      </w:tabs>
      <w:ind w:left="1417"/>
    </w:pPr>
  </w:style>
  <w:style w:type="paragraph" w:customStyle="1" w:styleId="b2lff">
    <w:name w:val="b2lf_f"/>
    <w:basedOn w:val="b2lf"/>
    <w:uiPriority w:val="99"/>
    <w:pPr>
      <w:spacing w:before="200"/>
    </w:pPr>
  </w:style>
  <w:style w:type="paragraph" w:customStyle="1" w:styleId="b1lff">
    <w:name w:val="b1lf_f"/>
    <w:basedOn w:val="b1lf"/>
    <w:uiPriority w:val="99"/>
    <w:pPr>
      <w:spacing w:before="200"/>
    </w:pPr>
  </w:style>
  <w:style w:type="paragraph" w:customStyle="1" w:styleId="b1lfADR">
    <w:name w:val="b1l_f!ADR"/>
    <w:basedOn w:val="b1lf"/>
    <w:uiPriority w:val="99"/>
    <w:rPr>
      <w:rFonts w:ascii="MyriadPro-Light" w:hAnsi="MyriadPro-Light" w:cs="MyriadPro-Light"/>
    </w:rPr>
  </w:style>
  <w:style w:type="paragraph" w:customStyle="1" w:styleId="b2af">
    <w:name w:val="b2a_f"/>
    <w:basedOn w:val="b1af"/>
    <w:uiPriority w:val="99"/>
    <w:pPr>
      <w:ind w:left="1191"/>
    </w:pPr>
  </w:style>
  <w:style w:type="paragraph" w:customStyle="1" w:styleId="b2afRID">
    <w:name w:val="b2a_f!RID"/>
    <w:basedOn w:val="b2af"/>
    <w:uiPriority w:val="99"/>
    <w:rPr>
      <w:b/>
      <w:bCs/>
    </w:rPr>
  </w:style>
  <w:style w:type="paragraph" w:customStyle="1" w:styleId="b1lffADR">
    <w:name w:val="b1lf_f!ADR"/>
    <w:basedOn w:val="b1lff"/>
    <w:uiPriority w:val="99"/>
    <w:rPr>
      <w:rFonts w:ascii="MyriadPro-Light" w:hAnsi="MyriadPro-Light" w:cs="MyriadPro-Light"/>
    </w:rPr>
  </w:style>
  <w:style w:type="paragraph" w:customStyle="1" w:styleId="m3tt">
    <w:name w:val="m3t_t"/>
    <w:basedOn w:val="m1tt"/>
    <w:uiPriority w:val="99"/>
    <w:pPr>
      <w:spacing w:before="280"/>
      <w:ind w:left="964"/>
    </w:pPr>
    <w:rPr>
      <w:i/>
      <w:iCs/>
    </w:rPr>
  </w:style>
  <w:style w:type="paragraph" w:customStyle="1" w:styleId="m3tnt">
    <w:name w:val="m3tn_t"/>
    <w:basedOn w:val="m3tt"/>
    <w:uiPriority w:val="99"/>
    <w:pPr>
      <w:tabs>
        <w:tab w:val="clear" w:pos="227"/>
        <w:tab w:val="clear" w:pos="454"/>
        <w:tab w:val="clear" w:pos="680"/>
        <w:tab w:val="clear" w:pos="907"/>
        <w:tab w:val="clear" w:pos="1134"/>
        <w:tab w:val="clear" w:pos="1361"/>
        <w:tab w:val="clear" w:pos="1587"/>
        <w:tab w:val="clear" w:pos="1814"/>
        <w:tab w:val="clear" w:pos="2041"/>
        <w:tab w:val="clear" w:pos="2268"/>
        <w:tab w:val="clear" w:pos="2494"/>
        <w:tab w:val="clear" w:pos="2721"/>
        <w:tab w:val="clear" w:pos="2948"/>
        <w:tab w:val="clear" w:pos="3175"/>
        <w:tab w:val="clear" w:pos="3402"/>
        <w:tab w:val="clear" w:pos="3628"/>
        <w:tab w:val="clear" w:pos="3855"/>
        <w:tab w:val="clear" w:pos="4082"/>
        <w:tab w:val="clear" w:pos="4309"/>
        <w:tab w:val="left" w:pos="964"/>
      </w:tabs>
      <w:ind w:hanging="964"/>
    </w:pPr>
  </w:style>
  <w:style w:type="paragraph" w:customStyle="1" w:styleId="m4tntnrimarg">
    <w:name w:val="m4tn_t!nr i marg"/>
    <w:basedOn w:val="m3tntnrimarg"/>
    <w:uiPriority w:val="99"/>
  </w:style>
  <w:style w:type="paragraph" w:customStyle="1" w:styleId="m5ttnrimarg">
    <w:name w:val="m5t_t!nr i marg"/>
    <w:basedOn w:val="m4tntnrimarg"/>
    <w:uiPriority w:val="99"/>
  </w:style>
  <w:style w:type="paragraph" w:customStyle="1" w:styleId="b1aff">
    <w:name w:val="b1af_f"/>
    <w:basedOn w:val="b1af-f"/>
    <w:next w:val="b1af"/>
    <w:uiPriority w:val="99"/>
    <w:pPr>
      <w:spacing w:before="200"/>
    </w:pPr>
  </w:style>
  <w:style w:type="paragraph" w:customStyle="1" w:styleId="b1fm1tt">
    <w:name w:val="b1_f|m1t_t"/>
    <w:basedOn w:val="b1aff"/>
    <w:uiPriority w:val="99"/>
    <w:pPr>
      <w:keepNext/>
      <w:tabs>
        <w:tab w:val="clear" w:pos="210"/>
        <w:tab w:val="clear" w:pos="420"/>
        <w:tab w:val="clear" w:pos="630"/>
        <w:tab w:val="clear" w:pos="840"/>
        <w:tab w:val="clear" w:pos="1050"/>
        <w:tab w:val="clear" w:pos="1260"/>
        <w:tab w:val="clear" w:pos="1470"/>
        <w:tab w:val="clear" w:pos="1680"/>
        <w:tab w:val="clear" w:pos="1890"/>
        <w:tab w:val="clear" w:pos="2310"/>
        <w:tab w:val="clear" w:pos="2520"/>
        <w:tab w:val="clear" w:pos="2730"/>
        <w:tab w:val="clear" w:pos="2940"/>
        <w:tab w:val="clear" w:pos="3150"/>
        <w:tab w:val="clear" w:pos="3360"/>
        <w:tab w:val="clear" w:pos="3570"/>
        <w:tab w:val="clear" w:pos="3780"/>
        <w:tab w:val="clear" w:pos="3990"/>
        <w:tab w:val="clear" w:pos="4410"/>
        <w:tab w:val="clear" w:pos="4620"/>
        <w:tab w:val="clear" w:pos="4830"/>
        <w:tab w:val="clear" w:pos="5040"/>
        <w:tab w:val="clear" w:pos="5250"/>
        <w:tab w:val="clear" w:pos="5460"/>
        <w:tab w:val="clear" w:pos="5670"/>
        <w:tab w:val="clear" w:pos="5880"/>
        <w:tab w:val="clear" w:pos="6090"/>
        <w:tab w:val="clear" w:pos="6510"/>
        <w:tab w:val="clear" w:pos="6720"/>
        <w:tab w:val="left" w:pos="300"/>
        <w:tab w:val="left" w:pos="600"/>
        <w:tab w:val="left" w:pos="900"/>
        <w:tab w:val="left" w:pos="1200"/>
        <w:tab w:val="left" w:pos="1500"/>
        <w:tab w:val="left" w:pos="1800"/>
        <w:tab w:val="left" w:pos="2400"/>
        <w:tab w:val="left" w:pos="2700"/>
        <w:tab w:val="left" w:pos="3000"/>
        <w:tab w:val="left" w:pos="3300"/>
        <w:tab w:val="left" w:pos="3600"/>
        <w:tab w:val="left" w:pos="3900"/>
        <w:tab w:val="left" w:pos="4500"/>
        <w:tab w:val="left" w:pos="4800"/>
        <w:tab w:val="left" w:pos="5100"/>
        <w:tab w:val="left" w:pos="5400"/>
        <w:tab w:val="left" w:pos="5700"/>
        <w:tab w:val="left" w:pos="6000"/>
        <w:tab w:val="left" w:pos="6600"/>
      </w:tabs>
      <w:suppressAutoHyphens/>
      <w:jc w:val="left"/>
    </w:pPr>
    <w:rPr>
      <w:b/>
      <w:bCs/>
    </w:rPr>
  </w:style>
  <w:style w:type="paragraph" w:customStyle="1" w:styleId="b1fm1t-t">
    <w:name w:val="b1_f|m1t-_t"/>
    <w:basedOn w:val="b1fm1tt"/>
    <w:uiPriority w:val="99"/>
    <w:pPr>
      <w:spacing w:before="0"/>
    </w:pPr>
  </w:style>
  <w:style w:type="paragraph" w:customStyle="1" w:styleId="b1affRID">
    <w:name w:val="b1af_f!RID"/>
    <w:basedOn w:val="b1aff"/>
    <w:uiPriority w:val="99"/>
    <w:rPr>
      <w:b/>
      <w:bCs/>
    </w:rPr>
  </w:style>
  <w:style w:type="paragraph" w:customStyle="1" w:styleId="b1lffRID">
    <w:name w:val="b1lf_f!RID"/>
    <w:basedOn w:val="b1lff"/>
    <w:uiPriority w:val="99"/>
    <w:rPr>
      <w:b/>
      <w:bCs/>
    </w:rPr>
  </w:style>
  <w:style w:type="paragraph" w:customStyle="1" w:styleId="b1lfRID">
    <w:name w:val="b1l_f!RID"/>
    <w:basedOn w:val="b1lffRID"/>
    <w:uiPriority w:val="99"/>
    <w:pPr>
      <w:spacing w:before="0"/>
    </w:pPr>
  </w:style>
  <w:style w:type="paragraph" w:customStyle="1" w:styleId="b1affADR">
    <w:name w:val="b1af_f!ADR"/>
    <w:basedOn w:val="b1aff"/>
    <w:uiPriority w:val="99"/>
    <w:pPr>
      <w:spacing w:before="210"/>
    </w:pPr>
    <w:rPr>
      <w:rFonts w:ascii="MyriadPro-Light" w:hAnsi="MyriadPro-Light" w:cs="MyriadPro-Light"/>
    </w:rPr>
  </w:style>
  <w:style w:type="paragraph" w:customStyle="1" w:styleId="b1af-fADR">
    <w:name w:val="b1af-_f!ADR"/>
    <w:basedOn w:val="b1af-f"/>
    <w:uiPriority w:val="99"/>
    <w:rPr>
      <w:rFonts w:ascii="MyriadPro-Light" w:hAnsi="MyriadPro-Light" w:cs="MyriadPro-Light"/>
    </w:rPr>
  </w:style>
  <w:style w:type="paragraph" w:customStyle="1" w:styleId="fn1af">
    <w:name w:val="fn1a_f"/>
    <w:basedOn w:val="Primaryfont"/>
    <w:uiPriority w:val="99"/>
    <w:pPr>
      <w:tabs>
        <w:tab w:val="left" w:pos="340"/>
        <w:tab w:val="left" w:pos="510"/>
        <w:tab w:val="left" w:pos="680"/>
        <w:tab w:val="left" w:pos="850"/>
        <w:tab w:val="left" w:pos="1020"/>
        <w:tab w:val="left" w:pos="1191"/>
        <w:tab w:val="left" w:pos="1361"/>
        <w:tab w:val="left" w:pos="1531"/>
        <w:tab w:val="left" w:pos="1701"/>
        <w:tab w:val="left" w:pos="1871"/>
        <w:tab w:val="left" w:pos="2041"/>
        <w:tab w:val="left" w:pos="2211"/>
        <w:tab w:val="left" w:pos="2381"/>
        <w:tab w:val="left" w:pos="2551"/>
        <w:tab w:val="left" w:pos="2721"/>
        <w:tab w:val="left" w:pos="2891"/>
        <w:tab w:val="left" w:pos="3061"/>
        <w:tab w:val="left" w:pos="3231"/>
        <w:tab w:val="left" w:pos="3402"/>
        <w:tab w:val="left" w:pos="3572"/>
        <w:tab w:val="left" w:pos="3742"/>
        <w:tab w:val="left" w:pos="3912"/>
        <w:tab w:val="left" w:pos="4082"/>
        <w:tab w:val="left" w:pos="4252"/>
        <w:tab w:val="left" w:pos="4422"/>
        <w:tab w:val="left" w:pos="4592"/>
        <w:tab w:val="left" w:pos="4762"/>
        <w:tab w:val="left" w:pos="4932"/>
        <w:tab w:val="left" w:pos="5102"/>
        <w:tab w:val="left" w:pos="5272"/>
        <w:tab w:val="left" w:pos="5443"/>
        <w:tab w:val="left" w:pos="5613"/>
        <w:tab w:val="left" w:pos="5783"/>
        <w:tab w:val="left" w:pos="5953"/>
        <w:tab w:val="left" w:pos="6123"/>
      </w:tabs>
      <w:suppressAutoHyphens w:val="0"/>
      <w:spacing w:line="210" w:lineRule="atLeast"/>
      <w:ind w:firstLine="227"/>
      <w:jc w:val="both"/>
    </w:pPr>
    <w:rPr>
      <w:sz w:val="16"/>
      <w:szCs w:val="16"/>
    </w:rPr>
  </w:style>
  <w:style w:type="paragraph" w:customStyle="1" w:styleId="fn1af-f">
    <w:name w:val="fn1af-_f"/>
    <w:basedOn w:val="fn1af"/>
    <w:uiPriority w:val="99"/>
    <w:pPr>
      <w:ind w:firstLine="0"/>
    </w:pPr>
  </w:style>
  <w:style w:type="paragraph" w:customStyle="1" w:styleId="fn1lf">
    <w:name w:val="fn1l_f"/>
    <w:basedOn w:val="fn1af-f"/>
    <w:uiPriority w:val="99"/>
    <w:pPr>
      <w:spacing w:line="288" w:lineRule="auto"/>
      <w:ind w:left="340" w:hanging="340"/>
      <w:jc w:val="left"/>
    </w:pPr>
    <w:rPr>
      <w:sz w:val="14"/>
      <w:szCs w:val="14"/>
    </w:rPr>
  </w:style>
  <w:style w:type="character" w:customStyle="1" w:styleId="LS2Fet">
    <w:name w:val="LS2_Fet"/>
    <w:uiPriority w:val="99"/>
    <w:rPr>
      <w:b/>
      <w:bCs/>
    </w:rPr>
  </w:style>
  <w:style w:type="character" w:customStyle="1" w:styleId="LS2Hevet">
    <w:name w:val="LS2_Hevet"/>
    <w:uiPriority w:val="99"/>
    <w:rPr>
      <w:vertAlign w:val="superscript"/>
    </w:rPr>
  </w:style>
  <w:style w:type="character" w:customStyle="1" w:styleId="LS2TegnRID">
    <w:name w:val="LS2_Tegn!RID"/>
    <w:uiPriority w:val="99"/>
    <w:rPr>
      <w:rFonts w:ascii="Minion Pro" w:hAnsi="Minion Pro" w:cs="Minion Pro"/>
      <w:b/>
      <w:bCs/>
      <w:color w:val="000000"/>
      <w:w w:val="100"/>
      <w:u w:val="none"/>
      <w:lang w:val="nb-NO"/>
    </w:rPr>
  </w:style>
  <w:style w:type="character" w:customStyle="1" w:styleId="LS2FetADR">
    <w:name w:val="LS2_Fet!ADR"/>
    <w:basedOn w:val="LS2Fet"/>
    <w:uiPriority w:val="99"/>
    <w:rPr>
      <w:rFonts w:ascii="MyriadPro-Regular" w:hAnsi="MyriadPro-Regular" w:cs="MyriadPro-Regular"/>
      <w:b/>
      <w:bCs/>
    </w:rPr>
  </w:style>
  <w:style w:type="character" w:customStyle="1" w:styleId="LS2FetRID">
    <w:name w:val="LS2_Fet!RID"/>
    <w:basedOn w:val="LS2Fet"/>
    <w:uiPriority w:val="99"/>
    <w:rPr>
      <w:b/>
      <w:bCs/>
      <w:color w:val="000000"/>
    </w:rPr>
  </w:style>
  <w:style w:type="character" w:customStyle="1" w:styleId="LABTilkolumneCharstyle">
    <w:name w:val="LAB_Til kolumne (Charstyle)"/>
    <w:uiPriority w:val="99"/>
  </w:style>
  <w:style w:type="character" w:customStyle="1" w:styleId="LABNummerimargBoldBaseline">
    <w:name w:val="LAB_Nummer i marg!Bold Baseline"/>
    <w:uiPriority w:val="99"/>
    <w:rPr>
      <w:rFonts w:ascii="Minion Pro" w:hAnsi="Minion Pro" w:cs="Minion Pro"/>
      <w:color w:val="000000"/>
      <w:spacing w:val="0"/>
      <w:position w:val="0"/>
      <w:sz w:val="18"/>
      <w:szCs w:val="18"/>
    </w:rPr>
  </w:style>
  <w:style w:type="character" w:customStyle="1" w:styleId="LABNummerimargRegular">
    <w:name w:val="LAB_Nummer i marg!Regular"/>
    <w:uiPriority w:val="99"/>
    <w:rPr>
      <w:rFonts w:ascii="Minion Pro" w:hAnsi="Minion Pro" w:cs="Minion Pro"/>
      <w:color w:val="000000"/>
      <w:spacing w:val="0"/>
      <w:position w:val="-22"/>
      <w:sz w:val="18"/>
      <w:szCs w:val="18"/>
    </w:rPr>
  </w:style>
  <w:style w:type="character" w:customStyle="1" w:styleId="LABNummerimargRegularBaseline">
    <w:name w:val="LAB_Nummer i marg!Regular Baseline"/>
    <w:basedOn w:val="LABNummerimargBoldBaseline"/>
    <w:uiPriority w:val="99"/>
    <w:rPr>
      <w:rFonts w:ascii="Minion Pro" w:hAnsi="Minion Pro" w:cs="Minion Pro"/>
      <w:color w:val="000000"/>
      <w:spacing w:val="0"/>
      <w:positio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4474</Words>
  <Characters>25503</Characters>
  <Application>Microsoft Office Word</Application>
  <DocSecurity>0</DocSecurity>
  <Lines>212</Lines>
  <Paragraphs>59</Paragraphs>
  <ScaleCrop>false</ScaleCrop>
  <Company/>
  <LinksUpToDate>false</LinksUpToDate>
  <CharactersWithSpaces>29918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Lasse Eidsheim</cp:lastModifiedBy>
  <cp:revision>2</cp:revision>
  <dcterms:created xsi:type="dcterms:W3CDTF">2024-11-26T12:42:00Z</dcterms:created>
  <dcterms:modified xsi:type="dcterms:W3CDTF">2024-11-26T12:42:00Z</dcterms:modified>
</cp:coreProperties>
</file>