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" w:hAnsi="Times" w:eastAsia="Times" w:cs="Times"/>
          <w:b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>Файл “Работа с НКРЯ + частотность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2. 768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08400"/>
            <wp:effectExtent l="0" t="0" r="0" b="0"/>
            <wp:docPr id="1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67375" cy="1181100"/>
            <wp:effectExtent l="0" t="0" r="0" b="0"/>
            <wp:docPr id="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3.195 312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676400"/>
            <wp:effectExtent l="0" t="0" r="0" b="0"/>
            <wp:docPr id="3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34025" cy="1524000"/>
            <wp:effectExtent l="0" t="0" r="0" b="0"/>
            <wp:docPr id="4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4. 94 416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16100"/>
            <wp:effectExtent l="0" t="0" r="0" b="0"/>
            <wp:docPr id="5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53050" cy="1485900"/>
            <wp:effectExtent l="0" t="0" r="0" b="0"/>
            <wp:docPr id="6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5. 4 358 694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905125" cy="1514475"/>
            <wp:effectExtent l="0" t="0" r="0" b="0"/>
            <wp:docPr id="7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43550" cy="1181100"/>
            <wp:effectExtent l="0" t="0" r="0" b="0"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6. 58 392 примера</w:t>
      </w:r>
      <w:r>
        <w:rPr/>
        <w:drawing>
          <wp:inline distT="0" distB="0" distL="0" distR="0">
            <wp:extent cx="5731510" cy="2400300"/>
            <wp:effectExtent l="0" t="0" r="0" b="0"/>
            <wp:docPr id="9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511300"/>
            <wp:effectExtent l="0" t="0" r="0" b="0"/>
            <wp:docPr id="1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7. </w:t>
      </w:r>
      <w:r>
        <w:rPr>
          <w:rFonts w:eastAsia="Times" w:cs="Times" w:ascii="Times" w:hAnsi="Times"/>
          <w:i/>
          <w:sz w:val="28"/>
          <w:szCs w:val="28"/>
        </w:rPr>
        <w:t xml:space="preserve">речь идет </w:t>
      </w:r>
      <w:r>
        <w:rPr>
          <w:rFonts w:eastAsia="Times" w:cs="Times" w:ascii="Times" w:hAnsi="Times"/>
          <w:sz w:val="28"/>
          <w:szCs w:val="28"/>
        </w:rPr>
        <w:t>(10 293 примера)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2336800"/>
            <wp:effectExtent l="0" t="0" r="0" b="0"/>
            <wp:docPr id="11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4050" cy="610870"/>
            <wp:effectExtent l="0" t="0" r="0" b="0"/>
            <wp:docPr id="12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8. 60 192 примера (если глагол управляет сущ), 152 примера(если глагол зависит от сущ)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072255" cy="5411470"/>
            <wp:effectExtent l="0" t="0" r="0" b="0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08000"/>
            <wp:effectExtent l="0" t="0" r="0" b="0"/>
            <wp:docPr id="1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34180" cy="5570855"/>
            <wp:effectExtent l="0" t="0" r="0" b="0"/>
            <wp:docPr id="1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46100"/>
            <wp:effectExtent l="0" t="0" r="0" b="0"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9. 513 787 примеров</w:t>
      </w:r>
      <w:r>
        <w:rPr/>
        <w:drawing>
          <wp:inline distT="0" distB="0" distL="0" distR="0">
            <wp:extent cx="5033645" cy="4624070"/>
            <wp:effectExtent l="0" t="0" r="0" b="0"/>
            <wp:docPr id="17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685800"/>
            <wp:effectExtent l="0" t="0" r="0" b="0"/>
            <wp:docPr id="1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10. 169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355850" cy="4196080"/>
            <wp:effectExtent l="0" t="0" r="0" b="0"/>
            <wp:docPr id="19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20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11. 202 732 примера</w:t>
      </w:r>
      <w:r>
        <w:rPr/>
        <w:drawing>
          <wp:inline distT="0" distB="0" distL="0" distR="0">
            <wp:extent cx="5731510" cy="4038600"/>
            <wp:effectExtent l="0" t="0" r="0" b="0"/>
            <wp:docPr id="21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711200"/>
            <wp:effectExtent l="0" t="0" r="0" b="0"/>
            <wp:docPr id="22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12. 21 пример</w:t>
      </w:r>
      <w:r>
        <w:rPr/>
        <w:drawing>
          <wp:inline distT="0" distB="0" distL="0" distR="0">
            <wp:extent cx="5731510" cy="3086100"/>
            <wp:effectExtent l="0" t="0" r="0" b="0"/>
            <wp:docPr id="23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647700"/>
            <wp:effectExtent l="0" t="0" r="0" b="0"/>
            <wp:docPr id="24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13. 86 текстов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714500"/>
            <wp:effectExtent l="0" t="0" r="0" b="0"/>
            <wp:docPr id="25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57200"/>
            <wp:effectExtent l="0" t="0" r="0" b="0"/>
            <wp:docPr id="2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14. 138 примера</w:t>
      </w:r>
      <w:r>
        <w:rPr/>
        <w:drawing>
          <wp:inline distT="0" distB="0" distL="0" distR="0">
            <wp:extent cx="5731510" cy="3771900"/>
            <wp:effectExtent l="0" t="0" r="0" b="0"/>
            <wp:docPr id="2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2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15. 192 текста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662170" cy="3221990"/>
            <wp:effectExtent l="0" t="0" r="0" b="0"/>
            <wp:docPr id="29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06400"/>
            <wp:effectExtent l="0" t="0" r="0" b="0"/>
            <wp:docPr id="30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16. 149 клипов</w:t>
      </w:r>
      <w:r>
        <w:rPr/>
        <w:drawing>
          <wp:inline distT="0" distB="0" distL="0" distR="0">
            <wp:extent cx="4986655" cy="4207510"/>
            <wp:effectExtent l="0" t="0" r="0" b="0"/>
            <wp:docPr id="31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17. 38 примеров</w:t>
      </w:r>
      <w:r>
        <w:rPr/>
        <w:drawing>
          <wp:inline distT="0" distB="0" distL="0" distR="0">
            <wp:extent cx="5731510" cy="2336800"/>
            <wp:effectExtent l="0" t="0" r="0" b="0"/>
            <wp:docPr id="3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171700"/>
            <wp:effectExtent l="0" t="0" r="0" b="0"/>
            <wp:docPr id="3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18.Чугунные дороги - железные дороги, но из чугуна…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136900"/>
            <wp:effectExtent l="0" t="0" r="0" b="0"/>
            <wp:docPr id="34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384300"/>
            <wp:effectExtent l="0" t="0" r="0" b="0"/>
            <wp:docPr id="3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sz w:val="28"/>
          <w:szCs w:val="28"/>
        </w:rPr>
        <w:br/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&lt;b&gt;чугунные дороги&lt;/b&gt; не новы, они существуют на многих железных заводах для перевозки руды, бог знает с которой поры. [Л. К. Чуковская. Декабристы (1950-1951)]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Употребление слова пароход в этом смысле:</w:t>
      </w:r>
      <w:r>
        <w:rPr/>
        <w:drawing>
          <wp:inline distT="0" distB="0" distL="0" distR="0">
            <wp:extent cx="5731510" cy="2311400"/>
            <wp:effectExtent l="0" t="0" r="0" b="0"/>
            <wp:docPr id="3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33800"/>
            <wp:effectExtent l="0" t="0" r="0" b="0"/>
            <wp:docPr id="3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Дым столбом кипит, дымится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Пароход…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Пестрота, разгул, волненье,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Ожиданье, нетерпенье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Православный веселится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Наш народ.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И быстрее, шибче воли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Поезд мчится в чистом поле.[</w:t>
      </w:r>
      <w:r>
        <w:rPr>
          <w:rFonts w:eastAsia="Times" w:cs="Times" w:ascii="Times" w:hAnsi="Times"/>
          <w:i/>
          <w:sz w:val="28"/>
          <w:szCs w:val="28"/>
        </w:rPr>
        <w:t>Н. В. Кукольник. Попутная песня : «Дым столбом — кипит, дымится...» (15.07.1840)]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19.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22600"/>
            <wp:effectExtent l="0" t="0" r="0" b="0"/>
            <wp:docPr id="3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b/>
          <w:b/>
          <w:sz w:val="28"/>
          <w:szCs w:val="28"/>
        </w:rPr>
      </w:pPr>
      <w:r>
        <w:rPr/>
        <w:drawing>
          <wp:inline distT="0" distB="0" distL="0" distR="0">
            <wp:extent cx="5731510" cy="1054100"/>
            <wp:effectExtent l="0" t="0" r="0" b="0"/>
            <wp:docPr id="39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1"/>
        <w:tblW w:w="438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385"/>
      </w:tblGrid>
      <w:tr>
        <w:trPr>
          <w:trHeight w:val="500" w:hRule="atLeast"/>
        </w:trPr>
        <w:tc>
          <w:tcPr>
            <w:tcW w:w="4385" w:type="dxa"/>
            <w:tcBorders/>
          </w:tcPr>
          <w:p>
            <w:pPr>
              <w:pStyle w:val="Normal1"/>
              <w:widowControl w:val="false"/>
              <w:rPr/>
            </w:pPr>
            <w:r>
              <w:rPr/>
              <w:t>Одеждой мысля быть от прочих отличен,</w:t>
            </w:r>
          </w:p>
        </w:tc>
      </w:tr>
      <w:tr>
        <w:trPr>
          <w:trHeight w:val="500" w:hRule="atLeast"/>
        </w:trPr>
        <w:tc>
          <w:tcPr>
            <w:tcW w:w="4385" w:type="dxa"/>
            <w:tcBorders/>
          </w:tcPr>
          <w:p>
            <w:pPr>
              <w:pStyle w:val="Normal1"/>
              <w:widowControl w:val="false"/>
              <w:rPr/>
            </w:pPr>
            <w:r>
              <w:rPr/>
              <w:t xml:space="preserve">Он в глупости чрез то сам был бы </w:t>
            </w:r>
            <w:r>
              <w:rPr>
                <w:i/>
              </w:rPr>
              <w:t>приличен</w:t>
            </w:r>
            <w:r>
              <w:rPr/>
              <w:t>.</w:t>
            </w:r>
          </w:p>
        </w:tc>
      </w:tr>
    </w:tbl>
    <w:p>
      <w:pPr>
        <w:pStyle w:val="Normal1"/>
        <w:spacing w:lineRule="auto" w:line="240" w:before="220" w:after="220"/>
        <w:rPr/>
      </w:pPr>
      <w:r>
        <w:rPr/>
        <w:t>[Н. П. Николев. Сатира к музе на 16 году сочинителя : «Оставим колкий слог, любезнейшая Муза...» (06.1774-12.1774)]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20. Работал с корпусом социальных сетей.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Для начала посмотрим на количество вхождений “интересоваться кем-либо”. Для этого в поиске вводим первым словом интересоваться, втором: сущ., в т.п., одуш. Как результат - 213 примеров вхождений.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 случае с “интересоваться о ком-либо” - результат 0 вхождений. </w:t>
      </w:r>
      <w:r>
        <w:rPr/>
        <w:drawing>
          <wp:inline distT="0" distB="0" distL="0" distR="0">
            <wp:extent cx="5731510" cy="4102100"/>
            <wp:effectExtent l="0" t="0" r="0" b="0"/>
            <wp:docPr id="4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35300"/>
            <wp:effectExtent l="0" t="0" r="0" b="0"/>
            <wp:docPr id="4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Можно сделать вывод, что конструкция “интересоваться кем-либо” встречается в текстах чаще, чем конструкция “интересоваться о ком-либо”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center"/>
        <w:rPr>
          <w:rFonts w:ascii="Times" w:hAnsi="Times" w:eastAsia="Times" w:cs="Times"/>
          <w:b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</w:r>
      <w:r>
        <w:br w:type="page"/>
      </w:r>
    </w:p>
    <w:p>
      <w:pPr>
        <w:pStyle w:val="Normal1"/>
        <w:jc w:val="center"/>
        <w:rPr>
          <w:rFonts w:ascii="Times" w:hAnsi="Times" w:eastAsia="Times" w:cs="Times"/>
          <w:b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>Файл “Работа с параллельными корпусами”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1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Параллельные корпуса в НКРЯ(Русский - английский):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517900"/>
            <wp:effectExtent l="0" t="0" r="0" b="0"/>
            <wp:docPr id="4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OPUS(Англо-русский параллельный корпус)</w:t>
      </w:r>
      <w:r>
        <w:rPr/>
        <w:drawing>
          <wp:inline distT="0" distB="0" distL="0" distR="0">
            <wp:extent cx="5731510" cy="1689100"/>
            <wp:effectExtent l="0" t="0" r="0" b="0"/>
            <wp:docPr id="43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Linguee(Русский-английский параллельный корпус)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79600"/>
            <wp:effectExtent l="0" t="0" r="0" b="0"/>
            <wp:docPr id="4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908300"/>
            <wp:effectExtent l="0" t="0" r="0" b="0"/>
            <wp:docPr id="45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Аналогичные ресурсы(содержат параллельные корпуса):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47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http://www.phil.muni.cz/angl/kacenka/kachna.html</w:t>
        </w:r>
      </w:hyperlink>
      <w:r>
        <w:rPr>
          <w:rFonts w:eastAsia="Times" w:cs="Times" w:ascii="Times" w:hAnsi="Times"/>
          <w:sz w:val="28"/>
          <w:szCs w:val="28"/>
        </w:rPr>
        <w:t xml:space="preserve">  - Английско-чешский корпус (3 млн словоупотреблей)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48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https://varieng.helsinki.fi/CoRD/corpora/ENPC/</w:t>
        </w:r>
      </w:hyperlink>
      <w:r>
        <w:rPr>
          <w:rFonts w:eastAsia="Times" w:cs="Times" w:ascii="Times" w:hAnsi="Times"/>
          <w:sz w:val="28"/>
          <w:szCs w:val="28"/>
        </w:rPr>
        <w:t xml:space="preserve"> - Англо-норвежский параллельный корпус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Восточный многоязычный корпус, включающий болгарский, чешский, эстонский, венгерский, румынский и словенский языки (Erjavec et al., 1998); 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Корпус "Agenda 21", включающий датский, английский, французский и немецкий языки(Kraaij, 1997); 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hyperlink" Target="http://www.phil.muni.cz/angl/kacenka/kachna.html" TargetMode="External"/><Relationship Id="rId48" Type="http://schemas.openxmlformats.org/officeDocument/2006/relationships/hyperlink" Target="https://varieng.helsinki.fi/CoRD/corpora/ENPC/" TargetMode="Externa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LibreOffice/7.3.7.2$Linux_X86_64 LibreOffice_project/30$Build-2</Application>
  <AppVersion>15.0000</AppVersion>
  <Pages>20</Pages>
  <Words>355</Words>
  <Characters>2231</Characters>
  <CharactersWithSpaces>2579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2024-03-20T00:23:56Z</dcterms:modified>
  <cp:revision>1</cp:revision>
  <dc:subject/>
  <dc:title/>
</cp:coreProperties>
</file>