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программной инженерии и компьютерной техники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Двухнедельная отчётная работа по «Информатике»: аннотация к статье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прошедшей лекции: </w:t>
      </w:r>
      <w:r w:rsidDel="00000000" w:rsidR="00000000" w:rsidRPr="00000000">
        <w:rPr>
          <w:sz w:val="24"/>
          <w:szCs w:val="24"/>
          <w:rtl w:val="0"/>
        </w:rPr>
        <w:t xml:space="preserve">6 декабря 2022г.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Номер прошедшей лекции: 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Дата сдачи:</w:t>
      </w:r>
      <w:r w:rsidDel="00000000" w:rsidR="00000000" w:rsidRPr="00000000">
        <w:rPr>
          <w:sz w:val="24"/>
          <w:szCs w:val="24"/>
          <w:rtl w:val="0"/>
        </w:rPr>
        <w:t xml:space="preserve"> 20 декабря 2022г.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Выполнил(а)</w:t>
      </w:r>
      <w:r w:rsidDel="00000000" w:rsidR="00000000" w:rsidRPr="00000000">
        <w:rPr>
          <w:sz w:val="24"/>
          <w:szCs w:val="24"/>
          <w:rtl w:val="0"/>
        </w:rPr>
        <w:t xml:space="preserve"> Гуменник П. О.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i w:val="1"/>
          <w:sz w:val="24"/>
          <w:szCs w:val="24"/>
          <w:highlight w:val="lightGray"/>
          <w:u w:val="single"/>
          <w:rtl w:val="0"/>
        </w:rPr>
        <w:t xml:space="preserve">Р3133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80"/>
          <w:tab w:val="left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 xml:space="preserve">Фамилия И.О. студента</w:t>
        <w:tab/>
        <w:t xml:space="preserve">не заполнять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80"/>
          <w:tab w:val="left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0.0" w:type="dxa"/>
        <w:jc w:val="left"/>
        <w:tblInd w:w="40.0" w:type="dxa"/>
        <w:tblLayout w:type="fixed"/>
        <w:tblLook w:val="0000"/>
      </w:tblPr>
      <w:tblGrid>
        <w:gridCol w:w="5966"/>
        <w:gridCol w:w="2552"/>
        <w:gridCol w:w="2212"/>
        <w:tblGridChange w:id="0">
          <w:tblGrid>
            <w:gridCol w:w="5966"/>
            <w:gridCol w:w="2552"/>
            <w:gridCol w:w="221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книги/видеолекции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 айтишников до санкций: как право интеллектуальной собственности поможет экономике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9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 автора статьи (или e-mail)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Евгения Ефименко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публикации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(не старше 2019 года)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22 НОЯБРЯ 2022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 статьи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 400 слов)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или сокращённая ссылка (bit.ly, tr.im и т.п.)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https://www.google.com/amp/s/pravo.ru/story/244042/amp/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Теги, ключевые слова или словосочетания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Интеллектуальная собственность, авторское право, IT, экономика, санкции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Параллельный импорт может помочь экономике РФ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Некоторые эксперты считают, что принудительное лицензирование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скорее вредно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Принудительное лицензирование позволяет компенсировать ограничения связанные с уходом обладателей интеллектуальных прав из РФ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Многие компании против принудительного лицензирования, тк хотят сохранить отношения с зарубежными партнерами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Иногда принудительное лицензирование вредит рынку и потребителю, тк компании сокращают вложения в исследования и разработку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Иностранным компаниям стало сложнее защитить свои права в РФ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Разрешать споры в частных судах можно быстрее, проводя процесс не публично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 IT суд оценивает код программы по лексике, а не по выполняемых функциям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базам данных авторское право действует на подбор структуры материалов, а не на них самих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Появилось постановление о выплате вознаграждения за служебные изобретение, это подстегнет программистов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Для регистрации товарного знака нужно доказать, что Вы использовали его впервые, продвигает его и провести соц-опрос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Параллельный импорт способствует импортозамещению.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Принудительное лицензирование может сократить дефицит и снизить цены на некоторые продукты в РФ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Принудительное лицензирование(спустя определённое время) предотвращает монополизацию рынка и стимулирует постоянное развитие компаний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Принудительное лицензирование портит отношения с компаниями-правообладателями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Принудительное лицензирование подавляет интерес выхода на наш рынок для иностранных компаний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связи с особенностью анализа кода программы при защите авторского права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можно безнаказанно копировать логику приложений.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Ваши замечания, пожелания преподавателю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анекдот о программистах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Посещает безногий программист врача и жалуется ему: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 Доктор, у меня фантомные боли в колене!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Доктор посмотрел на него и отвечает: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 Null reference exception!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Больница разваливается до основания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Наличие этой графы не влияет на оценку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