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ee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ee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ee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ee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ee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ee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ee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ee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ee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ee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