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jc w:val="center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34"/>
          <w:szCs w:val="34"/>
        </w:rPr>
        <w:t>Laboratório 6 — Planning Poker e Planejamento da Sprint 2</w:t>
      </w:r>
    </w:p>
    <w:p>
      <w:pPr>
        <w:pStyle w:val="Heading2"/>
        <w:spacing w:before="220" w:after="12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26"/>
          <w:szCs w:val="26"/>
        </w:rPr>
        <w:t>Equipe</w:t>
      </w:r>
    </w:p>
    <w:p>
      <w:pPr>
        <w:pStyle w:val="ListParagraph"/>
        <w:numPr>
          <w:ilvl w:val="0"/>
          <w:numId w:val="3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Gustavo Bertoluzzi Cardoso — 22.123.016-2 (Scrum Master)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Isabella Vieira Silva Rossetto — 22.222.036-0 (Developer)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Henrique Hodel Babler — 22.125.084-8 (Product Owner)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Matheus Ferreira de Freitas — 22.125.085-5 (Developer)</w:t>
      </w:r>
    </w:p>
    <w:p>
      <w:pPr>
        <w:pStyle w:val="Heading1"/>
        <w:spacing w:before="280" w:after="16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32"/>
          <w:szCs w:val="32"/>
        </w:rPr>
        <w:t>1. Objetivo do Laboratório</w:t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Este relatório documenta a sessão de estimativa das histórias de usuário do projeto I-Deal utilizando a técnica de Planning Poker, conduzida pela equipe por meio da ferramenta Planning Poker Online. O objetivo da atividade foi atribuir pontos de complexidade às histórias remanescentes do backlog e, a partir dessas estimativas, compor o escopo da Sprint 2 respeitando a capacidade do time e a prioridade MoSCoW definida no Lab 03.</w:t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Dado que as histórias US01 (Busca Unificada) e US05 (Login) já haviam sido selecionadas e concluídas durante a Sprint 1, a sessão de estimativa concentrou-se nas histórias US02, US03, US04 e US06, que representam o próximo incremento de valor da plataforma.</w:t>
      </w:r>
    </w:p>
    <w:p>
      <w:pPr>
        <w:pStyle w:val="Heading1"/>
        <w:spacing w:before="280" w:after="16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32"/>
          <w:szCs w:val="32"/>
        </w:rPr>
        <w:t>2. Metodologia Aplicada</w:t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A equipe seguiu as orientações clássicas do Planning Poker, respeitando os seguintes passos: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Escala utilizada: sequência de Fibonacci modificada (1, 2, 3, 5, 8, 13).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Escolha da história de referência: a US02 (Visualizar Histórico de Preços) foi inicialmente apontada como uma das mais simples, servindo como âncora de comparação.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Estimativa por comparação: as demais histórias foram avaliadas relativamente à âncora, considerando complexidade técnica e não apenas tempo de desenvolvimento.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Votação simultânea: cada integrante revelou seu voto ao mesmo tempo, evitando viés de ancoragem.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Consenso por discussão: em caso de divergência, os extremos justificavam seus votos e uma nova rodada era realizada até o alinhamento.</w:t>
      </w:r>
    </w:p>
    <w:p>
      <w:pPr>
        <w:pStyle w:val="Heading1"/>
        <w:spacing w:before="280" w:after="160"/>
        <w:rPr>
          <w:b/>
          <w:bCs/>
          <w:sz w:val="32"/>
          <w:szCs w:val="32"/>
        </w:rPr>
      </w:pPr>
      <w:r>
        <w:rPr>
          <w:rFonts w:ascii="Noto Sans Display" w:hAnsi="Noto Sans Display"/>
          <w:color w:val="000000"/>
        </w:rPr>
      </w:r>
    </w:p>
    <w:p>
      <w:pPr>
        <w:pStyle w:val="Heading1"/>
        <w:spacing w:before="280" w:after="160"/>
        <w:rPr>
          <w:b/>
          <w:bCs/>
          <w:sz w:val="32"/>
          <w:szCs w:val="32"/>
        </w:rPr>
      </w:pPr>
      <w:r>
        <w:rPr>
          <w:rFonts w:ascii="Noto Sans Display" w:hAnsi="Noto Sans Display"/>
          <w:color w:val="000000"/>
        </w:rPr>
      </w:r>
    </w:p>
    <w:p>
      <w:pPr>
        <w:pStyle w:val="Heading1"/>
        <w:spacing w:before="280" w:after="16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32"/>
          <w:szCs w:val="32"/>
        </w:rPr>
        <w:t>3. Histórias Estimadas</w:t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A tabela abaixo apresenta as histórias avaliadas na sessão, sua descrição resumida e o valor final consensuado em story points.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60"/>
        <w:gridCol w:w="3600"/>
        <w:gridCol w:w="3239"/>
        <w:gridCol w:w="1560"/>
      </w:tblGrid>
      <w:tr>
        <w:trPr>
          <w:tblHeader w:val="true"/>
        </w:trPr>
        <w:tc>
          <w:tcPr>
            <w:tcW w:w="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B8C" w:val="clear"/>
          </w:tcPr>
          <w:p>
            <w:pPr>
              <w:pStyle w:val="Normal"/>
              <w:jc w:val="center"/>
              <w:rPr>
                <w:rFonts w:ascii="Noto Sans Display" w:hAnsi="Noto Sans Display"/>
                <w:color w:val="FFFFFF"/>
              </w:rPr>
            </w:pPr>
            <w:r>
              <w:rPr>
                <w:rFonts w:ascii="Noto Sans Display" w:hAnsi="Noto Sans Display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B8C" w:val="clear"/>
          </w:tcPr>
          <w:p>
            <w:pPr>
              <w:pStyle w:val="Normal"/>
              <w:jc w:val="center"/>
              <w:rPr>
                <w:rFonts w:ascii="Noto Sans Display" w:hAnsi="Noto Sans Display"/>
                <w:color w:val="FFFFFF"/>
              </w:rPr>
            </w:pPr>
            <w:r>
              <w:rPr>
                <w:rFonts w:ascii="Noto Sans Display" w:hAnsi="Noto Sans Display"/>
                <w:b/>
                <w:bCs/>
                <w:color w:val="FFFFFF"/>
                <w:sz w:val="22"/>
                <w:szCs w:val="22"/>
              </w:rPr>
              <w:t>História de Usuário</w:t>
            </w:r>
          </w:p>
        </w:tc>
        <w:tc>
          <w:tcPr>
            <w:tcW w:w="32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B8C" w:val="clear"/>
          </w:tcPr>
          <w:p>
            <w:pPr>
              <w:pStyle w:val="Normal"/>
              <w:jc w:val="center"/>
              <w:rPr>
                <w:rFonts w:ascii="Noto Sans Display" w:hAnsi="Noto Sans Display"/>
                <w:color w:val="FFFFFF"/>
              </w:rPr>
            </w:pPr>
            <w:r>
              <w:rPr>
                <w:rFonts w:ascii="Noto Sans Display" w:hAnsi="Noto Sans Display"/>
                <w:b/>
                <w:bCs/>
                <w:color w:val="FFFFFF"/>
                <w:sz w:val="22"/>
                <w:szCs w:val="22"/>
              </w:rPr>
              <w:t>Justificativa da Estimativa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B8C" w:val="clear"/>
          </w:tcPr>
          <w:p>
            <w:pPr>
              <w:pStyle w:val="Normal"/>
              <w:jc w:val="center"/>
              <w:rPr>
                <w:rFonts w:ascii="Noto Sans Display" w:hAnsi="Noto Sans Display"/>
                <w:color w:val="FFFFFF"/>
              </w:rPr>
            </w:pPr>
            <w:r>
              <w:rPr>
                <w:rFonts w:ascii="Noto Sans Display" w:hAnsi="Noto Sans Display"/>
                <w:b/>
                <w:bCs/>
                <w:color w:val="FFFFFF"/>
                <w:sz w:val="22"/>
                <w:szCs w:val="22"/>
              </w:rPr>
              <w:t>Pontos</w:t>
            </w:r>
          </w:p>
        </w:tc>
      </w:tr>
      <w:tr>
        <w:trPr/>
        <w:tc>
          <w:tcPr>
            <w:tcW w:w="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US02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Como usuário, quero ver o gráfico de histórico de preços, para identificar se um desconto é real ou se o preço foi inflado.</w:t>
            </w:r>
          </w:p>
        </w:tc>
        <w:tc>
          <w:tcPr>
            <w:tcW w:w="32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Complexidade moderada: exige massa de dados histórica, renderização de gráfico responsivo e filtros de período. Back-end relativamente direto sobre dados já coletados.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3</w:t>
            </w:r>
          </w:p>
        </w:tc>
      </w:tr>
      <w:tr>
        <w:trPr/>
        <w:tc>
          <w:tcPr>
            <w:tcW w:w="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US03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Como gamer, quero cadastrar um alerta de preço, para ser notificado quando o título atingir meu preço alvo.</w:t>
            </w:r>
          </w:p>
        </w:tc>
        <w:tc>
          <w:tcPr>
            <w:tcW w:w="32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Envolve persistência de preferências, job agendado de verificação, serviço de envio de e-mail e tratamento de fila. Toca em mais camadas do sistema.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>
        <w:trPr/>
        <w:tc>
          <w:tcPr>
            <w:tcW w:w="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US04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Como usuário, quero instalar uma extensão de navegador, para receber avisos de preços menores enquanto navego nas lojas.</w:t>
            </w:r>
          </w:p>
        </w:tc>
        <w:tc>
          <w:tcPr>
            <w:tcW w:w="32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Alta complexidade: novo artefato (extensão), ciclo de publicação próprio, injeção de conteúdo em sites de terceiros, comunicação cross-origin com a API.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8</w:t>
            </w:r>
          </w:p>
        </w:tc>
      </w:tr>
      <w:tr>
        <w:trPr/>
        <w:tc>
          <w:tcPr>
            <w:tcW w:w="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US06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Como operação, quero sincronizar e normalizar dados de múltiplas lojas, para garantir que o mesmo jogo seja agrupado corretamente.</w:t>
            </w:r>
          </w:p>
        </w:tc>
        <w:tc>
          <w:tcPr>
            <w:tcW w:w="32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Algoritmo de string matching, importação agendada de várias fontes (SteamDB, GOG, Epic), tratamento de exceções e deduplicação em larga escala.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8</w:t>
            </w:r>
          </w:p>
        </w:tc>
      </w:tr>
    </w:tbl>
    <w:p>
      <w:pPr>
        <w:pStyle w:val="Normal"/>
        <w:spacing w:before="120" w:after="120"/>
        <w:jc w:val="right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24"/>
          <w:szCs w:val="24"/>
        </w:rPr>
        <w:t>Total estimado: 24 pontos</w:t>
      </w:r>
    </w:p>
    <w:p>
      <w:pPr>
        <w:pStyle w:val="Heading1"/>
        <w:spacing w:before="280" w:after="160"/>
        <w:rPr>
          <w:b/>
          <w:bCs/>
          <w:sz w:val="32"/>
          <w:szCs w:val="32"/>
        </w:rPr>
      </w:pPr>
      <w:r>
        <w:rPr>
          <w:rFonts w:ascii="Noto Sans Display" w:hAnsi="Noto Sans Display"/>
          <w:color w:val="000000"/>
        </w:rPr>
      </w:r>
    </w:p>
    <w:p>
      <w:pPr>
        <w:pStyle w:val="Heading1"/>
        <w:spacing w:before="280" w:after="16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32"/>
          <w:szCs w:val="32"/>
        </w:rPr>
        <w:t>4. Evidências da Sessão de Estimativa</w:t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A seguir são apresentadas capturas de tela da ferramenta Planning Poker Online evidenciando três momentos distintos da sessão: a rodada inicial de calibração, um caso de divergência com rediscussão e o resultado final consolidado.</w:t>
      </w:r>
    </w:p>
    <w:p>
      <w:pPr>
        <w:pStyle w:val="Heading2"/>
        <w:spacing w:before="220" w:after="12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26"/>
          <w:szCs w:val="26"/>
        </w:rPr>
        <w:t>4.1. Rodada de Calibração</w:t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Para alinhar a escala de complexidade, o time votou inicialmente sobre a história mais simples do conjunto. Todos os quatro integrantes (Gustavo, Isabella, Matheus e Henrique) votaram 2 pontos, gerando consenso imediato e estabelecendo a âncora de referência para as próximas rodadas.</w:t>
      </w:r>
    </w:p>
    <w:p>
      <w:pPr>
        <w:pStyle w:val="Normal"/>
        <w:spacing w:before="160" w:after="80"/>
        <w:jc w:val="center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</w:rPr>
      </w:r>
    </w:p>
    <w:p>
      <w:pPr>
        <w:pStyle w:val="Heading2"/>
        <w:spacing w:before="220" w:after="12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26"/>
          <w:szCs w:val="26"/>
        </w:rPr>
        <w:t>4.2. Caso de Divergência — US0</w:t>
      </w:r>
      <w:r>
        <w:rPr>
          <w:rFonts w:ascii="Noto Sans Display" w:hAnsi="Noto Sans Display"/>
          <w:b/>
          <w:bCs/>
          <w:color w:val="000000"/>
          <w:sz w:val="26"/>
          <w:szCs w:val="26"/>
        </w:rPr>
        <w:t>2</w:t>
      </w:r>
      <w:r>
        <w:rPr>
          <w:rFonts w:ascii="Noto Sans Display" w:hAnsi="Noto Sans Display"/>
          <w:b/>
          <w:bCs/>
          <w:color w:val="000000"/>
          <w:sz w:val="26"/>
          <w:szCs w:val="26"/>
        </w:rPr>
        <w:t xml:space="preserve"> (</w:t>
      </w:r>
      <w:r>
        <w:rPr>
          <w:rFonts w:ascii="Noto Sans Display" w:hAnsi="Noto Sans Display"/>
          <w:b/>
          <w:bCs/>
          <w:color w:val="000000"/>
          <w:sz w:val="26"/>
          <w:szCs w:val="26"/>
        </w:rPr>
        <w:t>Visualizar Historico de Preços)</w:t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A história que gerou a maior discussão da sessão foi a US0</w:t>
      </w: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2.</w:t>
      </w: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Algumas tasks referentes a essa historia do usuario haviam tombado da sprint 1 para a 2. </w:t>
      </w: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Na primeira rodada, os votos ficaram bastante divididos: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 xml:space="preserve">Gustavo: </w:t>
      </w:r>
      <w:r>
        <w:rPr>
          <w:rFonts w:ascii="Noto Sans Display" w:hAnsi="Noto Sans Display"/>
          <w:color w:val="000000"/>
          <w:sz w:val="22"/>
          <w:szCs w:val="22"/>
        </w:rPr>
        <w:t>2</w:t>
      </w:r>
      <w:r>
        <w:rPr>
          <w:rFonts w:ascii="Noto Sans Display" w:hAnsi="Noto Sans Display"/>
          <w:color w:val="000000"/>
          <w:sz w:val="22"/>
          <w:szCs w:val="22"/>
        </w:rPr>
        <w:t xml:space="preserve"> pontos — considerou q</w:t>
      </w:r>
      <w:r>
        <w:rPr>
          <w:rFonts w:ascii="Noto Sans Display" w:hAnsi="Noto Sans Display"/>
          <w:color w:val="000000"/>
          <w:sz w:val="22"/>
          <w:szCs w:val="22"/>
        </w:rPr>
        <w:t>ue era necessario relembrar e corrigir pendencias da mesma historia que ficaram na sprint 1.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 xml:space="preserve">Henrique: </w:t>
      </w:r>
      <w:r>
        <w:rPr>
          <w:rFonts w:ascii="Noto Sans Display" w:hAnsi="Noto Sans Display"/>
          <w:color w:val="000000"/>
          <w:sz w:val="22"/>
          <w:szCs w:val="22"/>
        </w:rPr>
        <w:t>1</w:t>
      </w:r>
      <w:r>
        <w:rPr>
          <w:rFonts w:ascii="Noto Sans Display" w:hAnsi="Noto Sans Display"/>
          <w:color w:val="000000"/>
          <w:sz w:val="22"/>
          <w:szCs w:val="22"/>
        </w:rPr>
        <w:t xml:space="preserve"> pontos — chamou atenção para a necessidade d</w:t>
      </w:r>
      <w:r>
        <w:rPr>
          <w:rFonts w:ascii="Noto Sans Display" w:hAnsi="Noto Sans Display"/>
          <w:color w:val="000000"/>
          <w:sz w:val="22"/>
          <w:szCs w:val="22"/>
        </w:rPr>
        <w:t>e ser apenas implementação de classes e que seria facil e rapido.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 xml:space="preserve">Isabella: </w:t>
      </w:r>
      <w:r>
        <w:rPr>
          <w:rFonts w:ascii="Noto Sans Display" w:hAnsi="Noto Sans Display"/>
          <w:color w:val="000000"/>
          <w:sz w:val="22"/>
          <w:szCs w:val="22"/>
        </w:rPr>
        <w:t>1</w:t>
      </w:r>
      <w:r>
        <w:rPr>
          <w:rFonts w:ascii="Noto Sans Display" w:hAnsi="Noto Sans Display"/>
          <w:color w:val="000000"/>
          <w:sz w:val="22"/>
          <w:szCs w:val="22"/>
        </w:rPr>
        <w:t xml:space="preserve"> pontos — argumentou que </w:t>
      </w:r>
      <w:r>
        <w:rPr>
          <w:rFonts w:ascii="Noto Sans Display" w:hAnsi="Noto Sans Display"/>
          <w:color w:val="000000"/>
          <w:sz w:val="22"/>
          <w:szCs w:val="22"/>
        </w:rPr>
        <w:t>o que ocorreu na Sprint 1 nao deveria ser revisitado, desde que já esteja concluido.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 xml:space="preserve">Matheus: </w:t>
      </w:r>
      <w:r>
        <w:rPr>
          <w:rFonts w:ascii="Noto Sans Display" w:hAnsi="Noto Sans Display"/>
          <w:color w:val="000000"/>
          <w:sz w:val="22"/>
          <w:szCs w:val="22"/>
        </w:rPr>
        <w:t>2</w:t>
      </w:r>
      <w:r>
        <w:rPr>
          <w:rFonts w:ascii="Noto Sans Display" w:hAnsi="Noto Sans Display"/>
          <w:color w:val="000000"/>
          <w:sz w:val="22"/>
          <w:szCs w:val="22"/>
        </w:rPr>
        <w:t xml:space="preserve"> pontos — concordou inicialmente com Gustavo por entender que se tratava de um MVP.</w:t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Esse foi o caso mais representativo do valor do Planning Poker no time: a divergência inicial expôs premissas que não estavam compartilhadas (quem estava pensando apenas no código, quem estava pensando no ciclo de publicação) e forçou o alinhamento antes da estimativa final, </w:t>
      </w: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resultando em concordancia de 3 pontos.</w:t>
      </w:r>
    </w:p>
    <w:p>
      <w:pPr>
        <w:pStyle w:val="Normal"/>
        <w:spacing w:before="0" w:after="120"/>
        <w:jc w:val="both"/>
        <w:rPr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ans Display" w:hAnsi="Noto Sans Display"/>
          <w:color w:val="000000"/>
        </w:rPr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1522730</wp:posOffset>
            </wp:positionH>
            <wp:positionV relativeFrom="paragraph">
              <wp:posOffset>-3175</wp:posOffset>
            </wp:positionV>
            <wp:extent cx="3371850" cy="47104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20" w:after="12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26"/>
          <w:szCs w:val="26"/>
        </w:rPr>
        <w:t>4.</w:t>
      </w:r>
      <w:r>
        <w:rPr>
          <w:rFonts w:ascii="Noto Sans Display" w:hAnsi="Noto Sans Display"/>
          <w:b/>
          <w:bCs/>
          <w:color w:val="000000"/>
          <w:sz w:val="26"/>
          <w:szCs w:val="26"/>
        </w:rPr>
        <w:t>3</w:t>
      </w:r>
      <w:r>
        <w:rPr>
          <w:rFonts w:ascii="Noto Sans Display" w:hAnsi="Noto Sans Display"/>
          <w:b/>
          <w:bCs/>
          <w:color w:val="000000"/>
          <w:sz w:val="26"/>
          <w:szCs w:val="26"/>
        </w:rPr>
        <w:t>.Resultado Consolidado das Estimativas</w:t>
      </w: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Ao final da sessão, o painel da ferramenta apresentou o backlog estimado com o total de 24 pontos distribuídos entre as quatro histórias avaliadas, conforme a figura a seguir.</w:t>
      </w:r>
      <w:r>
        <w:rPr>
          <w:rFonts w:ascii="Noto Sans Display" w:hAnsi="Noto Sans Display"/>
          <w:i/>
          <w:iCs/>
          <w:color w:val="000000"/>
          <w:sz w:val="20"/>
          <w:szCs w:val="20"/>
        </w:rPr>
        <w:drawing>
          <wp:inline distT="0" distB="0" distL="0" distR="0">
            <wp:extent cx="1990725" cy="3842385"/>
            <wp:effectExtent l="0" t="0" r="0" b="0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6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32"/>
          <w:szCs w:val="32"/>
        </w:rPr>
        <w:t>5. Planejamento da Sprint 2</w:t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Com as estimativas consolidadas, o time definiu o escopo da Sprint 2 considerando a capacidade disponível e a prioridade MoSCoW estabelecida no Lab 03.</w:t>
      </w:r>
    </w:p>
    <w:p>
      <w:pPr>
        <w:pStyle w:val="Heading2"/>
        <w:spacing w:before="220" w:after="12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26"/>
          <w:szCs w:val="26"/>
        </w:rPr>
        <w:t>5.1. Capacidade do Time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Duração da Sprint: 2 semanas (10 dias úteis).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Integrantes: 4 pessoas.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Horas disponíveis por integrante: 80 horas (considerando dedicação parcial ao projeto).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Fator de produtividade aplicado: 0,7 (mesmo fator utilizado na Sprint 1).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Capacidade planejada: 4 × 80 × 0,7 = 224 horas.</w:t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Considerando o desempenho observado na Sprint 1 — em que a equipe concluiu com folga o escopo planejado — o time adotou como meta de velocity a faixa de 20 a 30 pontos sugerida no enunciado, alinhada à sua capacidade.</w:t>
      </w:r>
    </w:p>
    <w:p>
      <w:pPr>
        <w:pStyle w:val="Heading2"/>
        <w:spacing w:before="220" w:after="12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26"/>
          <w:szCs w:val="26"/>
        </w:rPr>
        <w:t>5.2. Histórias Selecionadas para a Sprint 2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99"/>
        <w:gridCol w:w="3760"/>
        <w:gridCol w:w="3001"/>
        <w:gridCol w:w="1599"/>
      </w:tblGrid>
      <w:tr>
        <w:trPr>
          <w:tblHeader w:val="true"/>
        </w:trPr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B8C" w:val="clear"/>
          </w:tcPr>
          <w:p>
            <w:pPr>
              <w:pStyle w:val="Normal"/>
              <w:jc w:val="center"/>
              <w:rPr>
                <w:rFonts w:ascii="Noto Sans Display" w:hAnsi="Noto Sans Display"/>
                <w:color w:val="FFFFFF"/>
              </w:rPr>
            </w:pPr>
            <w:r>
              <w:rPr>
                <w:rFonts w:ascii="Noto Sans Display" w:hAnsi="Noto Sans Display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B8C" w:val="clear"/>
          </w:tcPr>
          <w:p>
            <w:pPr>
              <w:pStyle w:val="Normal"/>
              <w:jc w:val="center"/>
              <w:rPr>
                <w:rFonts w:ascii="Noto Sans Display" w:hAnsi="Noto Sans Display"/>
                <w:color w:val="FFFFFF"/>
              </w:rPr>
            </w:pPr>
            <w:r>
              <w:rPr>
                <w:rFonts w:ascii="Noto Sans Display" w:hAnsi="Noto Sans Display"/>
                <w:b/>
                <w:bCs/>
                <w:color w:val="FFFFFF"/>
                <w:sz w:val="22"/>
                <w:szCs w:val="22"/>
              </w:rPr>
              <w:t>História</w:t>
            </w:r>
          </w:p>
        </w:tc>
        <w:tc>
          <w:tcPr>
            <w:tcW w:w="3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B8C" w:val="clear"/>
          </w:tcPr>
          <w:p>
            <w:pPr>
              <w:pStyle w:val="Normal"/>
              <w:jc w:val="center"/>
              <w:rPr>
                <w:rFonts w:ascii="Noto Sans Display" w:hAnsi="Noto Sans Display"/>
                <w:color w:val="FFFFFF"/>
              </w:rPr>
            </w:pPr>
            <w:r>
              <w:rPr>
                <w:rFonts w:ascii="Noto Sans Display" w:hAnsi="Noto Sans Display"/>
                <w:b/>
                <w:bCs/>
                <w:color w:val="FFFFFF"/>
                <w:sz w:val="22"/>
                <w:szCs w:val="22"/>
              </w:rPr>
              <w:t>Prioridade MoSCoW</w:t>
            </w:r>
          </w:p>
        </w:tc>
        <w:tc>
          <w:tcPr>
            <w:tcW w:w="1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B8C" w:val="clear"/>
          </w:tcPr>
          <w:p>
            <w:pPr>
              <w:pStyle w:val="Normal"/>
              <w:jc w:val="center"/>
              <w:rPr>
                <w:rFonts w:ascii="Noto Sans Display" w:hAnsi="Noto Sans Display"/>
                <w:color w:val="FFFFFF"/>
              </w:rPr>
            </w:pPr>
            <w:r>
              <w:rPr>
                <w:rFonts w:ascii="Noto Sans Display" w:hAnsi="Noto Sans Display"/>
                <w:b/>
                <w:bCs/>
                <w:color w:val="FFFFFF"/>
                <w:sz w:val="22"/>
                <w:szCs w:val="22"/>
              </w:rPr>
              <w:t>Pontos</w:t>
            </w:r>
          </w:p>
        </w:tc>
      </w:tr>
      <w:tr>
        <w:trPr/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US02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Visualizar Histórico de Preços</w:t>
            </w:r>
          </w:p>
        </w:tc>
        <w:tc>
          <w:tcPr>
            <w:tcW w:w="3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Should-Have</w:t>
            </w:r>
          </w:p>
        </w:tc>
        <w:tc>
          <w:tcPr>
            <w:tcW w:w="1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3</w:t>
            </w:r>
          </w:p>
        </w:tc>
      </w:tr>
      <w:tr>
        <w:trPr/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US03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Alerta de Preço</w:t>
            </w:r>
          </w:p>
        </w:tc>
        <w:tc>
          <w:tcPr>
            <w:tcW w:w="3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Should-Have</w:t>
            </w:r>
          </w:p>
        </w:tc>
        <w:tc>
          <w:tcPr>
            <w:tcW w:w="1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>
        <w:trPr/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US06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Sincronizar e Normalizar Dados</w:t>
            </w:r>
          </w:p>
        </w:tc>
        <w:tc>
          <w:tcPr>
            <w:tcW w:w="3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Must-Have (técnica)</w:t>
            </w:r>
          </w:p>
        </w:tc>
        <w:tc>
          <w:tcPr>
            <w:tcW w:w="1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8</w:t>
            </w:r>
          </w:p>
        </w:tc>
      </w:tr>
      <w:tr>
        <w:trPr/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US04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Extensão de Navegador</w:t>
            </w:r>
          </w:p>
        </w:tc>
        <w:tc>
          <w:tcPr>
            <w:tcW w:w="3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 w:val="false"/>
                <w:bCs w:val="false"/>
                <w:color w:val="000000"/>
                <w:sz w:val="22"/>
                <w:szCs w:val="22"/>
              </w:rPr>
              <w:t>Could-Have</w:t>
            </w:r>
          </w:p>
        </w:tc>
        <w:tc>
          <w:tcPr>
            <w:tcW w:w="1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2F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>
                <w:rFonts w:ascii="Noto Sans Display" w:hAnsi="Noto Sans Display"/>
                <w:color w:val="000000"/>
              </w:rPr>
            </w:pPr>
            <w:r>
              <w:rPr>
                <w:rFonts w:ascii="Noto Sans Display" w:hAnsi="Noto Sans Display"/>
                <w:b/>
                <w:bCs/>
                <w:color w:val="000000"/>
                <w:sz w:val="22"/>
                <w:szCs w:val="22"/>
              </w:rPr>
              <w:t>8</w:t>
            </w:r>
          </w:p>
        </w:tc>
      </w:tr>
    </w:tbl>
    <w:p>
      <w:pPr>
        <w:pStyle w:val="Normal"/>
        <w:spacing w:before="120" w:after="120"/>
        <w:jc w:val="right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24"/>
          <w:szCs w:val="24"/>
        </w:rPr>
        <w:t>Total da Sprint 2: 24 pontos</w:t>
      </w:r>
    </w:p>
    <w:p>
      <w:pPr>
        <w:pStyle w:val="Heading2"/>
        <w:spacing w:before="220" w:after="12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26"/>
          <w:szCs w:val="26"/>
        </w:rPr>
        <w:t>5.3. Justificativa do Escopo</w:t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O total de 24 pontos encontra-se exatamente no meio da faixa sugerida (20 a 30), o que permite ao time absorver imprevistos sem comprometer o compromisso. A priorização levou em consideração três critérios: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Continuidade do valor de negócio: após entregar a busca unificada (US01) e o login (US05) na Sprint 1, as histórias US02 e US03 completam o ciclo central de valor prometido no Lean Canvas — transparência (histórico) e combate à volatilidade (alertas).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Dependência técnica da US06: embora classificada como suporte, a normalização de dados é pré-requisito para que o histórico e os alertas operem sobre títulos agrupados corretamente, por isso foi puxada para esta sprint.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Risco controlado da US04: a extensão de navegador, apesar de ser Could-Have, foi incluída para validar cedo o canal de distribuição alternativo previsto no Lean Canvas, com a ressalva de que, em caso de bloqueio, é a primeira candidata a sair do escopo.</w:t>
      </w:r>
    </w:p>
    <w:p>
      <w:pPr>
        <w:pStyle w:val="Heading1"/>
        <w:spacing w:before="280" w:after="16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32"/>
          <w:szCs w:val="32"/>
        </w:rPr>
        <w:t>6. Reflexão do Time</w:t>
      </w:r>
    </w:p>
    <w:p>
      <w:pPr>
        <w:pStyle w:val="Heading2"/>
        <w:spacing w:before="220" w:after="12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26"/>
          <w:szCs w:val="26"/>
        </w:rPr>
        <w:t>6.1. Dificuldades Encontradas</w:t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A principal dificuldade da sessão foi equilibrar as perspectivas de quem estava pensando exclusivamente no código da funcionalidade e de quem considerava todo o ciclo de entrega (build, deploy, publicação, testes). Essa diferença de ponto de vista ficou especialmente evidente na US04, em que os votos iniciais variaram de 5 a 13 pontos. Outro ponto de atenção foi evitar a tentação de converter story points diretamente em horas — tivemos de relembrar, durante a discussão, que a escala mede complexidade relativa e não tempo absoluto.</w:t>
      </w:r>
    </w:p>
    <w:p>
      <w:pPr>
        <w:pStyle w:val="Heading2"/>
        <w:spacing w:before="220" w:after="12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26"/>
          <w:szCs w:val="26"/>
        </w:rPr>
        <w:t>6.2. Como o Grupo Chegou ao Consenso</w:t>
      </w:r>
    </w:p>
    <w:p>
      <w:pPr>
        <w:pStyle w:val="Normal"/>
        <w:spacing w:before="0" w:after="120"/>
        <w:jc w:val="both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 w:val="false"/>
          <w:bCs w:val="false"/>
          <w:i w:val="false"/>
          <w:iCs w:val="false"/>
          <w:color w:val="000000"/>
          <w:sz w:val="22"/>
          <w:szCs w:val="22"/>
        </w:rPr>
        <w:t>O consenso foi construído por meio de três mecanismos: (i) votação simultânea, para evitar que o primeiro a falar ancorasse os demais; (ii) discussão estruturada pelos extremos, em que apenas os integrantes com os votos mais alto e mais baixo justificavam sua posição antes da nova rodada; e (iii) retomada da história de referência (US02) sempre que a equipe se perdia, para recalibrar o quanto um ponto representava em termos relativos. Esse protocolo permitiu que todas as histórias alcançassem acordo em no máximo duas rodadas de votação.</w:t>
      </w:r>
    </w:p>
    <w:p>
      <w:pPr>
        <w:pStyle w:val="Heading2"/>
        <w:spacing w:before="220" w:after="12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b/>
          <w:bCs/>
          <w:color w:val="000000"/>
          <w:sz w:val="26"/>
          <w:szCs w:val="26"/>
        </w:rPr>
        <w:t>6.3. Principais Aprendizados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Planning Poker expõe premissas ocultas: a divergência não é ruído, é sinal de que o time não está enxergando o mesmo problema.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Escolher bem a história-âncora é determinante para a qualidade das demais estimativas; uma âncora mal definida contamina toda a sessão.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A discussão pelos extremos é mais produtiva do que ouvir todos — economiza tempo e força a argumentação técnica.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Envolver o Product Owner na votação (e não apenas os desenvolvedores) ajudou a balancear complexidade técnica com valor de negócio, especialmente na priorização da US06.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Noto Sans Display" w:hAnsi="Noto Sans Display"/>
          <w:color w:val="000000"/>
        </w:rPr>
      </w:pPr>
      <w:r>
        <w:rPr>
          <w:rFonts w:ascii="Noto Sans Display" w:hAnsi="Noto Sans Display"/>
          <w:color w:val="000000"/>
          <w:sz w:val="22"/>
          <w:szCs w:val="22"/>
        </w:rPr>
        <w:t>A consistência com o fator de produtividade da Sprint 1 permitiu comparar capacidade real e estimada, melhorando a confiança no compromisso assumido.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Noto Sans Display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60"/>
      <w:outlineLvl w:val="0"/>
    </w:pPr>
    <w:rPr>
      <w:rFonts w:ascii="Arial" w:hAnsi="Arial" w:eastAsia="Arial" w:cs="Arial"/>
      <w:b/>
      <w:bCs/>
      <w:color w:val="2E4B8C"/>
      <w:sz w:val="32"/>
      <w:szCs w:val="32"/>
    </w:rPr>
  </w:style>
  <w:style w:type="paragraph" w:styleId="Heading2">
    <w:name w:val="Heading 2"/>
    <w:basedOn w:val="Heading"/>
    <w:qFormat/>
    <w:pPr>
      <w:spacing w:before="220" w:after="120"/>
      <w:outlineLvl w:val="1"/>
    </w:pPr>
    <w:rPr>
      <w:rFonts w:ascii="Arial" w:hAnsi="Arial" w:eastAsia="Arial" w:cs="Arial"/>
      <w:b/>
      <w:bCs/>
      <w:color w:val="2E4B8C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7</Pages>
  <Words>1380</Words>
  <Characters>7465</Characters>
  <CharactersWithSpaces>8736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2026-04-11T12:09:35Z</dcterms:created>
  <dc:creator>Un-named</dc:creator>
  <dc:description/>
  <dc:language>en-US</dc:language>
  <cp:lastModifiedBy/>
  <dcterms:modified xsi:type="dcterms:W3CDTF">2026-04-11T09:28:06Z</dcterms:modified>
  <cp:revision>2</cp:revision>
  <dc:subject/>
  <dc:title/>
</cp:coreProperties>
</file>