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440" w:top="1440" w:left="1440" w:right="1440" w:header="720" w:footer="720"/>
          <w:pgNumType w:start="1"/>
        </w:sectPr>
      </w:pPr>
      <w:bookmarkStart w:colFirst="0" w:colLast="0" w:name="_dhtb4js9c5dt" w:id="0"/>
      <w:bookmarkEnd w:id="0"/>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Thẻ 2</w:t>
      </w:r>
      <w:r w:rsidDel="00000000" w:rsidR="00000000" w:rsidRPr="00000000">
        <w:rPr>
          <w:rtl w:val="0"/>
        </w:rPr>
      </w:r>
    </w:p>
    <w:p w:rsidR="00000000" w:rsidDel="00000000" w:rsidP="00000000" w:rsidRDefault="00000000" w:rsidRPr="00000000" w14:paraId="00000002">
      <w:pPr>
        <w:widowControl w:val="0"/>
        <w:spacing w:after="100" w:before="400" w:line="276" w:lineRule="auto"/>
        <w:jc w:val="center"/>
        <w:rPr>
          <w:rFonts w:ascii="Times New Roman" w:cs="Times New Roman" w:eastAsia="Times New Roman" w:hAnsi="Times New Roman"/>
          <w:b w:val="1"/>
          <w:bCs w:val="1"/>
          <w:color w:val="1b5e20"/>
          <w:sz w:val="58"/>
          <w:szCs w:val="58"/>
        </w:rPr>
      </w:pPr>
      <w:r w:rsidDel="00000000" w:rsidR="00000000" w:rsidRPr="00000000">
        <w:rPr>
          <w:rFonts w:ascii="Times New Roman" w:cs="Times New Roman" w:eastAsia="Times New Roman" w:hAnsi="Times New Roman"/>
          <w:b w:val="1"/>
          <w:bCs w:val="1"/>
          <w:color w:val="1b5e20"/>
          <w:sz w:val="58"/>
          <w:szCs w:val="58"/>
          <w:rtl w:val="0"/>
        </w:rPr>
        <w:t xml:space="preserve">SALIGUARD</w:t>
      </w:r>
    </w:p>
    <w:p w:rsidR="00000000" w:rsidDel="00000000" w:rsidP="00000000" w:rsidRDefault="00000000" w:rsidRPr="00000000" w14:paraId="00000003">
      <w:pPr>
        <w:widowControl w:val="0"/>
        <w:spacing w:after="80" w:line="276" w:lineRule="auto"/>
        <w:jc w:val="center"/>
        <w:rPr>
          <w:rFonts w:ascii="Times New Roman" w:cs="Times New Roman" w:eastAsia="Times New Roman" w:hAnsi="Times New Roman"/>
          <w:b w:val="1"/>
          <w:bCs w:val="1"/>
          <w:color w:val="2e7d32"/>
          <w:sz w:val="28"/>
          <w:szCs w:val="28"/>
        </w:rPr>
      </w:pPr>
      <w:r w:rsidDel="00000000" w:rsidR="00000000" w:rsidRPr="00000000">
        <w:rPr>
          <w:rFonts w:ascii="Times New Roman" w:cs="Times New Roman" w:eastAsia="Times New Roman" w:hAnsi="Times New Roman"/>
          <w:b w:val="1"/>
          <w:bCs w:val="1"/>
          <w:color w:val="2e7d32"/>
          <w:sz w:val="28"/>
          <w:szCs w:val="28"/>
          <w:rtl w:val="0"/>
        </w:rPr>
        <w:t xml:space="preserve">AI-Powered Salinity Intrusion Early Warning System</w:t>
      </w:r>
    </w:p>
    <w:p w:rsidR="00000000" w:rsidDel="00000000" w:rsidP="00000000" w:rsidRDefault="00000000" w:rsidRPr="00000000" w14:paraId="00000004">
      <w:pPr>
        <w:widowControl w:val="0"/>
        <w:spacing w:after="6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555555"/>
          <w:sz w:val="24"/>
          <w:szCs w:val="24"/>
          <w:rtl w:val="0"/>
        </w:rPr>
        <w:t xml:space="preserve">Red River Delta &amp; Hai Phong Coastal Districts, Vietnam</w:t>
      </w:r>
      <w:r w:rsidDel="00000000" w:rsidR="00000000" w:rsidRPr="00000000">
        <w:rPr>
          <w:rtl w:val="0"/>
        </w:rPr>
      </w:r>
    </w:p>
    <w:p w:rsidR="00000000" w:rsidDel="00000000" w:rsidP="00000000" w:rsidRDefault="00000000" w:rsidRPr="00000000" w14:paraId="00000005">
      <w:pPr>
        <w:widowControl w:val="0"/>
        <w:spacing w:after="40" w:before="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888888"/>
          <w:sz w:val="20"/>
          <w:szCs w:val="20"/>
          <w:rtl w:val="0"/>
        </w:rPr>
        <w:t xml:space="preserve">Asian Hackathon for Green Future 2026  -  Track C: Water Resources &amp; Climate-Resilient Agriculture</w:t>
      </w:r>
      <w:r w:rsidDel="00000000" w:rsidR="00000000" w:rsidRPr="00000000">
        <w:rPr>
          <w:rtl w:val="0"/>
        </w:rPr>
      </w:r>
    </w:p>
    <w:p w:rsidR="00000000" w:rsidDel="00000000" w:rsidP="00000000" w:rsidRDefault="00000000" w:rsidRPr="00000000" w14:paraId="00000006">
      <w:pPr>
        <w:pStyle w:val="Heading1"/>
        <w:widowControl w:val="0"/>
        <w:spacing w:before="480" w:line="276" w:lineRule="auto"/>
        <w:jc w:val="both"/>
        <w:rPr>
          <w:rFonts w:ascii="Times New Roman" w:cs="Times New Roman" w:eastAsia="Times New Roman" w:hAnsi="Times New Roman"/>
          <w:color w:val="000000"/>
          <w:sz w:val="30"/>
          <w:szCs w:val="30"/>
        </w:rPr>
      </w:pPr>
      <w:bookmarkStart w:colFirst="0" w:colLast="0" w:name="_aesxvzy9eakk" w:id="1"/>
      <w:bookmarkEnd w:id="1"/>
      <w:r w:rsidDel="00000000" w:rsidR="00000000" w:rsidRPr="00000000">
        <w:rPr>
          <w:rFonts w:ascii="Times New Roman" w:cs="Times New Roman" w:eastAsia="Times New Roman" w:hAnsi="Times New Roman"/>
          <w:color w:val="000000"/>
          <w:sz w:val="30"/>
          <w:szCs w:val="30"/>
          <w:rtl w:val="0"/>
        </w:rPr>
        <w:t xml:space="preserve">1. Problem Statement</w:t>
      </w:r>
    </w:p>
    <w:p w:rsidR="00000000" w:rsidDel="00000000" w:rsidP="00000000" w:rsidRDefault="00000000" w:rsidRPr="00000000" w14:paraId="00000007">
      <w:pPr>
        <w:pStyle w:val="Heading2"/>
        <w:widowControl w:val="0"/>
        <w:spacing w:before="360" w:line="276" w:lineRule="auto"/>
        <w:jc w:val="both"/>
        <w:rPr>
          <w:rFonts w:ascii="Times New Roman" w:cs="Times New Roman" w:eastAsia="Times New Roman" w:hAnsi="Times New Roman"/>
          <w:color w:val="000000"/>
          <w:sz w:val="26"/>
          <w:szCs w:val="26"/>
        </w:rPr>
      </w:pPr>
      <w:bookmarkStart w:colFirst="0" w:colLast="0" w:name="_x9nno15oqph8" w:id="2"/>
      <w:bookmarkEnd w:id="2"/>
      <w:r w:rsidDel="00000000" w:rsidR="00000000" w:rsidRPr="00000000">
        <w:rPr>
          <w:rFonts w:ascii="Times New Roman" w:cs="Times New Roman" w:eastAsia="Times New Roman" w:hAnsi="Times New Roman"/>
          <w:color w:val="000000"/>
          <w:sz w:val="26"/>
          <w:szCs w:val="26"/>
          <w:rtl w:val="0"/>
        </w:rPr>
        <w:t xml:space="preserve">1.1 A Crisis That Is Getting Worse Every Year</w:t>
      </w:r>
    </w:p>
    <w:p w:rsidR="00000000" w:rsidDel="00000000" w:rsidP="00000000" w:rsidRDefault="00000000" w:rsidRPr="00000000" w14:paraId="00000008">
      <w:pPr>
        <w:widowControl w:val="0"/>
        <w:spacing w:after="80" w:before="8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The coastal districts of Hai Phong - including Tien Lang, Vinh Bao, and Kien Thuy - are facing a worsening salinity intrusion crisis. Saltwater from the Red River pushes into farmland every dry season, damaging rice crops and contaminating freshwater supplies. Scientific data from the Hon Dau tide gauge station (1960-2020) shows that sea levels in Hai Phong have been rising at an average rate of 3.56 mm/year, accelerating to 7.78 mm/year during 2002-2020, equivalent to 14.7 cm in just 19 years (Nguyen et al., 2022). </w:t>
      </w:r>
      <w:r w:rsidDel="00000000" w:rsidR="00000000" w:rsidRPr="00000000">
        <w:rPr>
          <w:rtl w:val="0"/>
        </w:rPr>
      </w:r>
    </w:p>
    <w:p w:rsidR="00000000" w:rsidDel="00000000" w:rsidP="00000000" w:rsidRDefault="00000000" w:rsidRPr="00000000" w14:paraId="00000009">
      <w:pPr>
        <w:widowControl w:val="0"/>
        <w:spacing w:after="80" w:before="8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734050" cy="3366534"/>
            <wp:effectExtent b="0" l="0" r="0" t="0"/>
            <wp:docPr id="3" name="image5.png"/>
            <a:graphic>
              <a:graphicData uri="http://schemas.openxmlformats.org/drawingml/2006/picture">
                <pic:pic>
                  <pic:nvPicPr>
                    <pic:cNvPr id="0" name="image5.png"/>
                    <pic:cNvPicPr preferRelativeResize="0"/>
                  </pic:nvPicPr>
                  <pic:blipFill>
                    <a:blip r:embed="rId6"/>
                    <a:srcRect b="5999" l="0" r="0" t="0"/>
                    <a:stretch>
                      <a:fillRect/>
                    </a:stretch>
                  </pic:blipFill>
                  <pic:spPr>
                    <a:xfrm>
                      <a:off x="0" y="0"/>
                      <a:ext cx="5734050" cy="3366534"/>
                    </a:xfrm>
                    <a:prstGeom prst="rect"/>
                    <a:ln/>
                  </pic:spPr>
                </pic:pic>
              </a:graphicData>
            </a:graphic>
          </wp:inline>
        </w:drawing>
      </w:r>
      <w:r w:rsidDel="00000000" w:rsidR="00000000" w:rsidRPr="00000000">
        <w:rPr>
          <w:rtl w:val="0"/>
        </w:rPr>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30"/>
        <w:gridCol w:w="2760"/>
        <w:gridCol w:w="2790"/>
        <w:tblGridChange w:id="0">
          <w:tblGrid>
            <w:gridCol w:w="3330"/>
            <w:gridCol w:w="2760"/>
            <w:gridCol w:w="2790"/>
          </w:tblGrid>
        </w:tblGridChange>
      </w:tblGrid>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1b5e20" w:val="clear"/>
            <w:tcMar>
              <w:top w:w="80.0" w:type="dxa"/>
              <w:left w:w="120.0" w:type="dxa"/>
              <w:bottom w:w="80.0" w:type="dxa"/>
              <w:right w:w="120.0" w:type="dxa"/>
            </w:tcMar>
          </w:tcPr>
          <w:p w:rsidR="00000000" w:rsidDel="00000000" w:rsidP="00000000" w:rsidRDefault="00000000" w:rsidRPr="00000000" w14:paraId="0000000A">
            <w:pPr>
              <w:widowControl w:val="0"/>
              <w:spacing w:line="276" w:lineRule="auto"/>
              <w:jc w:val="both"/>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Indicator</w:t>
            </w:r>
          </w:p>
        </w:tc>
        <w:tc>
          <w:tcPr>
            <w:tcBorders>
              <w:top w:color="cccccc" w:space="0" w:sz="6" w:val="single"/>
              <w:left w:color="cccccc" w:space="0" w:sz="6" w:val="single"/>
              <w:bottom w:color="cccccc" w:space="0" w:sz="6" w:val="single"/>
              <w:right w:color="cccccc" w:space="0" w:sz="6" w:val="single"/>
            </w:tcBorders>
            <w:shd w:fill="1b5e20" w:val="clear"/>
            <w:tcMar>
              <w:top w:w="80.0" w:type="dxa"/>
              <w:left w:w="120.0" w:type="dxa"/>
              <w:bottom w:w="80.0" w:type="dxa"/>
              <w:right w:w="120.0" w:type="dxa"/>
            </w:tcMar>
          </w:tcPr>
          <w:p w:rsidR="00000000" w:rsidDel="00000000" w:rsidP="00000000" w:rsidRDefault="00000000" w:rsidRPr="00000000" w14:paraId="0000000B">
            <w:pPr>
              <w:widowControl w:val="0"/>
              <w:spacing w:line="276" w:lineRule="auto"/>
              <w:jc w:val="both"/>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Data</w:t>
            </w:r>
          </w:p>
        </w:tc>
        <w:tc>
          <w:tcPr>
            <w:tcBorders>
              <w:top w:color="cccccc" w:space="0" w:sz="6" w:val="single"/>
              <w:left w:color="cccccc" w:space="0" w:sz="6" w:val="single"/>
              <w:bottom w:color="cccccc" w:space="0" w:sz="6" w:val="single"/>
              <w:right w:color="cccccc" w:space="0" w:sz="6" w:val="single"/>
            </w:tcBorders>
            <w:shd w:fill="1b5e20" w:val="clear"/>
            <w:tcMar>
              <w:top w:w="80.0" w:type="dxa"/>
              <w:left w:w="120.0" w:type="dxa"/>
              <w:bottom w:w="80.0" w:type="dxa"/>
              <w:right w:w="120.0" w:type="dxa"/>
            </w:tcMar>
          </w:tcPr>
          <w:p w:rsidR="00000000" w:rsidDel="00000000" w:rsidP="00000000" w:rsidRDefault="00000000" w:rsidRPr="00000000" w14:paraId="0000000C">
            <w:pPr>
              <w:widowControl w:val="0"/>
              <w:spacing w:line="276" w:lineRule="auto"/>
              <w:jc w:val="both"/>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Source</w:t>
            </w:r>
          </w:p>
        </w:tc>
      </w:tr>
      <w:tr>
        <w:trPr>
          <w:cantSplit w:val="0"/>
          <w:trHeight w:val="630"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0D">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Sea-level rise rate (Hai Phong, 1960-2020)</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0E">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3.56 mm/year</w:t>
            </w:r>
          </w:p>
        </w:tc>
        <w:tc>
          <w:tcPr>
            <w:vMerge w:val="restart"/>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0F">
            <w:pPr>
              <w:widowControl w:val="0"/>
              <w:spacing w:line="276" w:lineRule="auto"/>
              <w:jc w:val="both"/>
              <w:rPr>
                <w:rFonts w:ascii="Times New Roman" w:cs="Times New Roman" w:eastAsia="Times New Roman" w:hAnsi="Times New Roman"/>
              </w:rPr>
            </w:pPr>
            <w:hyperlink r:id="rId7">
              <w:r w:rsidDel="00000000" w:rsidR="00000000" w:rsidRPr="00000000">
                <w:rPr>
                  <w:rFonts w:ascii="Times New Roman" w:cs="Times New Roman" w:eastAsia="Times New Roman" w:hAnsi="Times New Roman"/>
                  <w:color w:val="1155cc"/>
                  <w:u w:val="single"/>
                  <w:rtl w:val="0"/>
                </w:rPr>
                <w:t xml:space="preserve">Nguyen et al., 2022</w:t>
              </w:r>
            </w:hyperlink>
            <w:r w:rsidDel="00000000" w:rsidR="00000000" w:rsidRPr="00000000">
              <w:rPr>
                <w:rtl w:val="0"/>
              </w:rPr>
            </w:r>
          </w:p>
          <w:p w:rsidR="00000000" w:rsidDel="00000000" w:rsidP="00000000" w:rsidRDefault="00000000" w:rsidRPr="00000000" w14:paraId="00000010">
            <w:pPr>
              <w:widowControl w:val="0"/>
              <w:spacing w:line="276" w:lineRule="auto"/>
              <w:jc w:val="both"/>
              <w:rPr>
                <w:rFonts w:ascii="Times New Roman" w:cs="Times New Roman" w:eastAsia="Times New Roman" w:hAnsi="Times New Roman"/>
              </w:rPr>
            </w:pPr>
            <w:r w:rsidDel="00000000" w:rsidR="00000000" w:rsidRPr="00000000">
              <w:rPr>
                <w:rtl w:val="0"/>
              </w:rPr>
            </w:r>
          </w:p>
        </w:tc>
      </w:tr>
      <w:tr>
        <w:trPr>
          <w:cantSplit w:val="0"/>
          <w:trHeight w:val="630"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11">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Sea-level rise rate (Hai Phong, 2002-2020)</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12">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7.78 mm/year (accelerating)</w:t>
            </w:r>
          </w:p>
        </w:tc>
        <w:tc>
          <w:tcPr>
            <w:vMerge w:val="continue"/>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13">
            <w:pPr>
              <w:widowControl w:val="0"/>
              <w:jc w:val="both"/>
              <w:rPr>
                <w:rFonts w:ascii="Times New Roman" w:cs="Times New Roman" w:eastAsia="Times New Roman" w:hAnsi="Times New Roman"/>
              </w:rPr>
            </w:pPr>
            <w:r w:rsidDel="00000000" w:rsidR="00000000" w:rsidRPr="00000000">
              <w:rPr>
                <w:rtl w:val="0"/>
              </w:rPr>
            </w:r>
          </w:p>
        </w:tc>
      </w:tr>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14">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sea-level rise in 19 years</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15">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14.7 cm</w:t>
            </w:r>
          </w:p>
        </w:tc>
        <w:tc>
          <w:tcPr>
            <w:vMerge w:val="continue"/>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16">
            <w:pPr>
              <w:widowControl w:val="0"/>
              <w:jc w:val="both"/>
              <w:rPr>
                <w:rFonts w:ascii="Times New Roman" w:cs="Times New Roman" w:eastAsia="Times New Roman" w:hAnsi="Times New Roman"/>
              </w:rPr>
            </w:pPr>
            <w:r w:rsidDel="00000000" w:rsidR="00000000" w:rsidRPr="00000000">
              <w:rPr>
                <w:rtl w:val="0"/>
              </w:rPr>
            </w:r>
          </w:p>
        </w:tc>
      </w:tr>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17">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ENSO influence on Hai Phong sea level</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18">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 level rises during El Nino (+7.2 cm peak)</w:t>
            </w:r>
          </w:p>
        </w:tc>
        <w:tc>
          <w:tcPr>
            <w:vMerge w:val="continue"/>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19">
            <w:pPr>
              <w:widowControl w:val="0"/>
              <w:jc w:val="both"/>
              <w:rPr>
                <w:rFonts w:ascii="Times New Roman" w:cs="Times New Roman" w:eastAsia="Times New Roman" w:hAnsi="Times New Roman"/>
              </w:rPr>
            </w:pPr>
            <w:r w:rsidDel="00000000" w:rsidR="00000000" w:rsidRPr="00000000">
              <w:rPr>
                <w:rtl w:val="0"/>
              </w:rPr>
            </w:r>
          </w:p>
        </w:tc>
      </w:tr>
      <w:tr>
        <w:trPr>
          <w:cantSplit w:val="0"/>
          <w:trHeight w:val="63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1A">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Salinity intrusion depth - Red River (current)</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1B">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 to 40 km inland</w:t>
            </w:r>
          </w:p>
        </w:tc>
        <w:tc>
          <w:tcPr>
            <w:vMerge w:val="restart"/>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1C">
            <w:pPr>
              <w:widowControl w:val="0"/>
              <w:spacing w:line="276" w:lineRule="auto"/>
              <w:jc w:val="both"/>
              <w:rPr>
                <w:rFonts w:ascii="Times New Roman" w:cs="Times New Roman" w:eastAsia="Times New Roman" w:hAnsi="Times New Roman"/>
              </w:rPr>
            </w:pPr>
            <w:hyperlink r:id="rId8">
              <w:r w:rsidDel="00000000" w:rsidR="00000000" w:rsidRPr="00000000">
                <w:rPr>
                  <w:rFonts w:ascii="Times New Roman" w:cs="Times New Roman" w:eastAsia="Times New Roman" w:hAnsi="Times New Roman"/>
                  <w:color w:val="1155cc"/>
                  <w:u w:val="single"/>
                  <w:rtl w:val="0"/>
                </w:rPr>
                <w:t xml:space="preserve">Nguyen et al., 2020</w:t>
              </w:r>
            </w:hyperlink>
            <w:r w:rsidDel="00000000" w:rsidR="00000000" w:rsidRPr="00000000">
              <w:rPr>
                <w:rtl w:val="0"/>
              </w:rPr>
            </w:r>
          </w:p>
          <w:p w:rsidR="00000000" w:rsidDel="00000000" w:rsidP="00000000" w:rsidRDefault="00000000" w:rsidRPr="00000000" w14:paraId="0000001D">
            <w:pPr>
              <w:widowControl w:val="0"/>
              <w:spacing w:line="276" w:lineRule="auto"/>
              <w:jc w:val="both"/>
              <w:rPr>
                <w:rFonts w:ascii="Times New Roman" w:cs="Times New Roman" w:eastAsia="Times New Roman" w:hAnsi="Times New Roman"/>
              </w:rPr>
            </w:pPr>
            <w:r w:rsidDel="00000000" w:rsidR="00000000" w:rsidRPr="00000000">
              <w:rPr>
                <w:rtl w:val="0"/>
              </w:rPr>
            </w:r>
          </w:p>
        </w:tc>
      </w:tr>
      <w:tr>
        <w:trPr>
          <w:cantSplit w:val="0"/>
          <w:trHeight w:val="63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1E">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Salinity intrusion depth - Red River (2100, RCP8.5)</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1F">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 to 38-40 km for 1% threshold</w:t>
            </w:r>
          </w:p>
        </w:tc>
        <w:tc>
          <w:tcPr>
            <w:vMerge w:val="continue"/>
            <w:tcBorders>
              <w:top w:color="cccccc" w:space="0" w:sz="6" w:val="single"/>
              <w:left w:color="cccccc" w:space="0" w:sz="6" w:val="single"/>
              <w:bottom w:color="cccccc" w:space="0" w:sz="6" w:val="single"/>
              <w:right w:color="cccccc" w:space="0" w:sz="6" w:val="single"/>
            </w:tcBorders>
            <w:shd w:fill="f1f8e9" w:val="clear"/>
            <w:tcMar>
              <w:top w:w="80.0" w:type="dxa"/>
              <w:left w:w="120.0" w:type="dxa"/>
              <w:bottom w:w="80.0" w:type="dxa"/>
              <w:right w:w="120.0" w:type="dxa"/>
            </w:tcMar>
          </w:tcPr>
          <w:p w:rsidR="00000000" w:rsidDel="00000000" w:rsidP="00000000" w:rsidRDefault="00000000" w:rsidRPr="00000000" w14:paraId="00000020">
            <w:pPr>
              <w:widowControl w:val="0"/>
              <w:jc w:val="both"/>
              <w:rPr>
                <w:rFonts w:ascii="Times New Roman" w:cs="Times New Roman" w:eastAsia="Times New Roman" w:hAnsi="Times New Roman"/>
              </w:rPr>
            </w:pPr>
            <w:r w:rsidDel="00000000" w:rsidR="00000000" w:rsidRPr="00000000">
              <w:rPr>
                <w:rtl w:val="0"/>
              </w:rPr>
            </w:r>
          </w:p>
        </w:tc>
      </w:tr>
      <w:tr>
        <w:trPr>
          <w:cantSplit w:val="0"/>
          <w:trHeight w:val="63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21">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danger threshold - Red River (2100, RCP8.5)</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22">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Moves 32 km upstream from baseline</w:t>
            </w:r>
          </w:p>
        </w:tc>
        <w:tc>
          <w:tcPr>
            <w:vMerge w:val="continue"/>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23">
            <w:pPr>
              <w:widowControl w:val="0"/>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24">
      <w:pPr>
        <w:pStyle w:val="Heading2"/>
        <w:widowControl w:val="0"/>
        <w:spacing w:before="360" w:line="276" w:lineRule="auto"/>
        <w:jc w:val="both"/>
        <w:rPr>
          <w:rFonts w:ascii="Times New Roman" w:cs="Times New Roman" w:eastAsia="Times New Roman" w:hAnsi="Times New Roman"/>
          <w:color w:val="000000"/>
        </w:rPr>
      </w:pPr>
      <w:bookmarkStart w:colFirst="0" w:colLast="0" w:name="_qlrerhmclrpl" w:id="3"/>
      <w:bookmarkEnd w:id="3"/>
      <w:r w:rsidDel="00000000" w:rsidR="00000000" w:rsidRPr="00000000">
        <w:rPr>
          <w:rFonts w:ascii="Times New Roman" w:cs="Times New Roman" w:eastAsia="Times New Roman" w:hAnsi="Times New Roman"/>
          <w:color w:val="000000"/>
          <w:rtl w:val="0"/>
        </w:rPr>
        <w:t xml:space="preserve">1.2 The Real Problem: No Warning</w:t>
      </w:r>
    </w:p>
    <w:p w:rsidR="00000000" w:rsidDel="00000000" w:rsidP="00000000" w:rsidRDefault="00000000" w:rsidRPr="00000000" w14:paraId="00000025">
      <w:pPr>
        <w:widowControl w:val="0"/>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Peer-reviewed studies on the Red River system show that salinity intrusion will continue increasing under all sea-level rise scenarios through 2050 and 2100 (Nguyen et al., 2020). This means the problem is expected to worsen over time.</w:t>
      </w:r>
    </w:p>
    <w:p w:rsidR="00000000" w:rsidDel="00000000" w:rsidP="00000000" w:rsidRDefault="00000000" w:rsidRPr="00000000" w14:paraId="00000026">
      <w:pPr>
        <w:widowControl w:val="0"/>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crop losses are driven not only by salinity itself, but by the lack of an early warning system that reaches farmers in time. A farmer who receives a 48-hour warning can close irrigation gates, protect freshwater reserves, and reduce crop losses.</w:t>
      </w:r>
    </w:p>
    <w:p w:rsidR="00000000" w:rsidDel="00000000" w:rsidP="00000000" w:rsidRDefault="00000000" w:rsidRPr="00000000" w14:paraId="00000027">
      <w:pPr>
        <w:widowControl w:val="0"/>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government monitoring stations are too sparse and slow to support real-time decisions for smallholder farmers. No affordable, farmer-facing technology currently predicts local salinity intrusion and delivers alerts directly to smartphones. SaliGuard was built to fill this gap.</w:t>
      </w:r>
    </w:p>
    <w:p w:rsidR="00000000" w:rsidDel="00000000" w:rsidP="00000000" w:rsidRDefault="00000000" w:rsidRPr="00000000" w14:paraId="00000028">
      <w:pPr>
        <w:widowControl w:val="0"/>
        <w:spacing w:after="80" w:before="8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27363" cy="3068845"/>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327363" cy="306884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widowControl w:val="0"/>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stations used to evaluate model performance for water levels, discharges, and salt concentrations were selected along the river network, as shown in figure, where H denotes water level, Q denotes river discharge, and S denotes salt concentration. </w:t>
      </w:r>
    </w:p>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 Evaluation</w:t>
      </w:r>
      <w:r w:rsidDel="00000000" w:rsidR="00000000" w:rsidRPr="00000000">
        <w:rPr>
          <w:rFonts w:ascii="Times New Roman" w:cs="Times New Roman" w:eastAsia="Times New Roman" w:hAnsi="Times New Roman"/>
          <w:sz w:val="24"/>
          <w:szCs w:val="24"/>
          <w:rtl w:val="0"/>
        </w:rPr>
        <w:t xml:space="preserve"> </w:t>
      </w:r>
    </w:p>
    <w:tbl>
      <w:tblPr>
        <w:tblStyle w:val="Table2"/>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95"/>
        <w:gridCol w:w="1035"/>
        <w:gridCol w:w="1290"/>
        <w:gridCol w:w="1725"/>
        <w:gridCol w:w="1605"/>
        <w:gridCol w:w="1320"/>
        <w:gridCol w:w="945"/>
        <w:tblGridChange w:id="0">
          <w:tblGrid>
            <w:gridCol w:w="1095"/>
            <w:gridCol w:w="1035"/>
            <w:gridCol w:w="1290"/>
            <w:gridCol w:w="1725"/>
            <w:gridCol w:w="1605"/>
            <w:gridCol w:w="1320"/>
            <w:gridCol w:w="945"/>
          </w:tblGrid>
        </w:tblGridChange>
      </w:tblGrid>
      <w:tr>
        <w:trPr>
          <w:cantSplit w:val="0"/>
          <w:trHeight w:val="515" w:hRule="atLeast"/>
          <w:tblHeader w:val="0"/>
        </w:trPr>
        <w:tc>
          <w:tcPr/>
          <w:p w:rsidR="00000000" w:rsidDel="00000000" w:rsidP="00000000" w:rsidRDefault="00000000" w:rsidRPr="00000000" w14:paraId="0000002B">
            <w:pPr>
              <w:widowControl w:val="0"/>
              <w:spacing w:after="80" w:before="8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Station</w:t>
            </w:r>
            <w:r w:rsidDel="00000000" w:rsidR="00000000" w:rsidRPr="00000000">
              <w:rPr>
                <w:rtl w:val="0"/>
              </w:rPr>
            </w:r>
          </w:p>
        </w:tc>
        <w:tc>
          <w:tcPr/>
          <w:p w:rsidR="00000000" w:rsidDel="00000000" w:rsidP="00000000" w:rsidRDefault="00000000" w:rsidRPr="00000000" w14:paraId="0000002C">
            <w:pPr>
              <w:widowControl w:val="0"/>
              <w:spacing w:after="80" w:before="8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River</w:t>
            </w:r>
            <w:r w:rsidDel="00000000" w:rsidR="00000000" w:rsidRPr="00000000">
              <w:rPr>
                <w:rtl w:val="0"/>
              </w:rPr>
            </w:r>
          </w:p>
        </w:tc>
        <w:tc>
          <w:tcPr/>
          <w:p w:rsidR="00000000" w:rsidDel="00000000" w:rsidP="00000000" w:rsidRDefault="00000000" w:rsidRPr="00000000" w14:paraId="0000002D">
            <w:pPr>
              <w:widowControl w:val="0"/>
              <w:spacing w:after="80" w:before="8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Variable</w:t>
            </w:r>
            <w:r w:rsidDel="00000000" w:rsidR="00000000" w:rsidRPr="00000000">
              <w:rPr>
                <w:rtl w:val="0"/>
              </w:rPr>
            </w:r>
          </w:p>
        </w:tc>
        <w:tc>
          <w:tcPr/>
          <w:p w:rsidR="00000000" w:rsidDel="00000000" w:rsidP="00000000" w:rsidRDefault="00000000" w:rsidRPr="00000000" w14:paraId="0000002E">
            <w:pPr>
              <w:widowControl w:val="0"/>
              <w:spacing w:after="80" w:before="8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Calculated Max</w:t>
            </w:r>
            <w:r w:rsidDel="00000000" w:rsidR="00000000" w:rsidRPr="00000000">
              <w:rPr>
                <w:rtl w:val="0"/>
              </w:rPr>
            </w:r>
          </w:p>
        </w:tc>
        <w:tc>
          <w:tcPr/>
          <w:p w:rsidR="00000000" w:rsidDel="00000000" w:rsidP="00000000" w:rsidRDefault="00000000" w:rsidRPr="00000000" w14:paraId="0000002F">
            <w:pPr>
              <w:widowControl w:val="0"/>
              <w:spacing w:after="80" w:before="8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Observed Max</w:t>
            </w:r>
            <w:r w:rsidDel="00000000" w:rsidR="00000000" w:rsidRPr="00000000">
              <w:rPr>
                <w:rtl w:val="0"/>
              </w:rPr>
            </w:r>
          </w:p>
        </w:tc>
        <w:tc>
          <w:tcPr/>
          <w:p w:rsidR="00000000" w:rsidDel="00000000" w:rsidP="00000000" w:rsidRDefault="00000000" w:rsidRPr="00000000" w14:paraId="00000030">
            <w:pPr>
              <w:widowControl w:val="0"/>
              <w:spacing w:after="80" w:before="8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Difference</w:t>
            </w:r>
            <w:r w:rsidDel="00000000" w:rsidR="00000000" w:rsidRPr="00000000">
              <w:rPr>
                <w:rtl w:val="0"/>
              </w:rPr>
            </w:r>
          </w:p>
        </w:tc>
        <w:tc>
          <w:tcPr/>
          <w:p w:rsidR="00000000" w:rsidDel="00000000" w:rsidP="00000000" w:rsidRDefault="00000000" w:rsidRPr="00000000" w14:paraId="00000031">
            <w:pPr>
              <w:widowControl w:val="0"/>
              <w:spacing w:after="80" w:before="8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NSE (%)</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032">
            <w:pPr>
              <w:widowControl w:val="0"/>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Son Tay</w:t>
            </w:r>
          </w:p>
        </w:tc>
        <w:tc>
          <w:tcPr/>
          <w:p w:rsidR="00000000" w:rsidDel="00000000" w:rsidP="00000000" w:rsidRDefault="00000000" w:rsidRPr="00000000" w14:paraId="00000033">
            <w:pPr>
              <w:widowControl w:val="0"/>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Hong</w:t>
            </w:r>
          </w:p>
        </w:tc>
        <w:tc>
          <w:tcPr/>
          <w:p w:rsidR="00000000" w:rsidDel="00000000" w:rsidP="00000000" w:rsidRDefault="00000000" w:rsidRPr="00000000" w14:paraId="00000034">
            <w:pPr>
              <w:widowControl w:val="0"/>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level (H)</w:t>
            </w:r>
          </w:p>
        </w:tc>
        <w:tc>
          <w:tcPr/>
          <w:p w:rsidR="00000000" w:rsidDel="00000000" w:rsidP="00000000" w:rsidRDefault="00000000" w:rsidRPr="00000000" w14:paraId="00000035">
            <w:pPr>
              <w:widowControl w:val="0"/>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5.52 m</w:t>
            </w:r>
          </w:p>
        </w:tc>
        <w:tc>
          <w:tcPr/>
          <w:p w:rsidR="00000000" w:rsidDel="00000000" w:rsidP="00000000" w:rsidRDefault="00000000" w:rsidRPr="00000000" w14:paraId="00000036">
            <w:pPr>
              <w:widowControl w:val="0"/>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5.50 m</w:t>
            </w:r>
          </w:p>
        </w:tc>
        <w:tc>
          <w:tcPr/>
          <w:p w:rsidR="00000000" w:rsidDel="00000000" w:rsidP="00000000" w:rsidRDefault="00000000" w:rsidRPr="00000000" w14:paraId="00000037">
            <w:pPr>
              <w:widowControl w:val="0"/>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0.02 m</w:t>
            </w:r>
          </w:p>
        </w:tc>
        <w:tc>
          <w:tcPr/>
          <w:p w:rsidR="00000000" w:rsidDel="00000000" w:rsidP="00000000" w:rsidRDefault="00000000" w:rsidRPr="00000000" w14:paraId="00000038">
            <w:pPr>
              <w:widowControl w:val="0"/>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98.5</w:t>
            </w:r>
          </w:p>
        </w:tc>
      </w:tr>
      <w:tr>
        <w:trPr>
          <w:cantSplit w:val="0"/>
          <w:trHeight w:val="515" w:hRule="atLeast"/>
          <w:tblHeader w:val="0"/>
        </w:trPr>
        <w:tc>
          <w:tcPr/>
          <w:p w:rsidR="00000000" w:rsidDel="00000000" w:rsidP="00000000" w:rsidRDefault="00000000" w:rsidRPr="00000000" w14:paraId="00000039">
            <w:pPr>
              <w:widowControl w:val="0"/>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Son Tay</w:t>
            </w:r>
          </w:p>
        </w:tc>
        <w:tc>
          <w:tcPr/>
          <w:p w:rsidR="00000000" w:rsidDel="00000000" w:rsidP="00000000" w:rsidRDefault="00000000" w:rsidRPr="00000000" w14:paraId="0000003A">
            <w:pPr>
              <w:widowControl w:val="0"/>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Hong</w:t>
            </w:r>
          </w:p>
        </w:tc>
        <w:tc>
          <w:tcPr/>
          <w:p w:rsidR="00000000" w:rsidDel="00000000" w:rsidP="00000000" w:rsidRDefault="00000000" w:rsidRPr="00000000" w14:paraId="0000003B">
            <w:pPr>
              <w:widowControl w:val="0"/>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Discharge (Q)</w:t>
            </w:r>
          </w:p>
        </w:tc>
        <w:tc>
          <w:tcPr/>
          <w:p w:rsidR="00000000" w:rsidDel="00000000" w:rsidP="00000000" w:rsidRDefault="00000000" w:rsidRPr="00000000" w14:paraId="0000003C">
            <w:pPr>
              <w:widowControl w:val="0"/>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2266 m³/s</w:t>
            </w:r>
          </w:p>
        </w:tc>
        <w:tc>
          <w:tcPr/>
          <w:p w:rsidR="00000000" w:rsidDel="00000000" w:rsidP="00000000" w:rsidRDefault="00000000" w:rsidRPr="00000000" w14:paraId="0000003D">
            <w:pPr>
              <w:widowControl w:val="0"/>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2590 m³/s</w:t>
            </w:r>
          </w:p>
        </w:tc>
        <w:tc>
          <w:tcPr/>
          <w:p w:rsidR="00000000" w:rsidDel="00000000" w:rsidP="00000000" w:rsidRDefault="00000000" w:rsidRPr="00000000" w14:paraId="0000003E">
            <w:pPr>
              <w:widowControl w:val="0"/>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-324 m³/s</w:t>
            </w:r>
          </w:p>
        </w:tc>
        <w:tc>
          <w:tcPr/>
          <w:p w:rsidR="00000000" w:rsidDel="00000000" w:rsidP="00000000" w:rsidRDefault="00000000" w:rsidRPr="00000000" w14:paraId="0000003F">
            <w:pPr>
              <w:widowControl w:val="0"/>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92.8</w:t>
            </w:r>
          </w:p>
        </w:tc>
      </w:tr>
      <w:tr>
        <w:trPr>
          <w:cantSplit w:val="0"/>
          <w:trHeight w:val="515" w:hRule="atLeast"/>
          <w:tblHeader w:val="0"/>
        </w:trPr>
        <w:tc>
          <w:tcPr/>
          <w:p w:rsidR="00000000" w:rsidDel="00000000" w:rsidP="00000000" w:rsidRDefault="00000000" w:rsidRPr="00000000" w14:paraId="00000040">
            <w:pPr>
              <w:widowControl w:val="0"/>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 Noi</w:t>
            </w:r>
          </w:p>
        </w:tc>
        <w:tc>
          <w:tcPr/>
          <w:p w:rsidR="00000000" w:rsidDel="00000000" w:rsidP="00000000" w:rsidRDefault="00000000" w:rsidRPr="00000000" w14:paraId="00000041">
            <w:pPr>
              <w:widowControl w:val="0"/>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Hong</w:t>
            </w:r>
          </w:p>
        </w:tc>
        <w:tc>
          <w:tcPr/>
          <w:p w:rsidR="00000000" w:rsidDel="00000000" w:rsidP="00000000" w:rsidRDefault="00000000" w:rsidRPr="00000000" w14:paraId="00000042">
            <w:pPr>
              <w:widowControl w:val="0"/>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level (H)</w:t>
            </w:r>
          </w:p>
        </w:tc>
        <w:tc>
          <w:tcPr/>
          <w:p w:rsidR="00000000" w:rsidDel="00000000" w:rsidP="00000000" w:rsidRDefault="00000000" w:rsidRPr="00000000" w14:paraId="00000043">
            <w:pPr>
              <w:widowControl w:val="0"/>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2.40 m</w:t>
            </w:r>
          </w:p>
        </w:tc>
        <w:tc>
          <w:tcPr/>
          <w:p w:rsidR="00000000" w:rsidDel="00000000" w:rsidP="00000000" w:rsidRDefault="00000000" w:rsidRPr="00000000" w14:paraId="00000044">
            <w:pPr>
              <w:widowControl w:val="0"/>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2.38 m</w:t>
            </w:r>
          </w:p>
        </w:tc>
        <w:tc>
          <w:tcPr/>
          <w:p w:rsidR="00000000" w:rsidDel="00000000" w:rsidP="00000000" w:rsidRDefault="00000000" w:rsidRPr="00000000" w14:paraId="00000045">
            <w:pPr>
              <w:widowControl w:val="0"/>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0.02 m</w:t>
            </w:r>
          </w:p>
        </w:tc>
        <w:tc>
          <w:tcPr/>
          <w:p w:rsidR="00000000" w:rsidDel="00000000" w:rsidP="00000000" w:rsidRDefault="00000000" w:rsidRPr="00000000" w14:paraId="00000046">
            <w:pPr>
              <w:widowControl w:val="0"/>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93.2</w:t>
            </w:r>
          </w:p>
        </w:tc>
      </w:tr>
      <w:tr>
        <w:trPr>
          <w:cantSplit w:val="0"/>
          <w:trHeight w:val="515" w:hRule="atLeast"/>
          <w:tblHeader w:val="0"/>
        </w:trPr>
        <w:tc>
          <w:tcPr/>
          <w:p w:rsidR="00000000" w:rsidDel="00000000" w:rsidP="00000000" w:rsidRDefault="00000000" w:rsidRPr="00000000" w14:paraId="00000047">
            <w:pPr>
              <w:widowControl w:val="0"/>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 Noi</w:t>
            </w:r>
          </w:p>
        </w:tc>
        <w:tc>
          <w:tcPr/>
          <w:p w:rsidR="00000000" w:rsidDel="00000000" w:rsidP="00000000" w:rsidRDefault="00000000" w:rsidRPr="00000000" w14:paraId="00000048">
            <w:pPr>
              <w:widowControl w:val="0"/>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Hong</w:t>
            </w:r>
          </w:p>
        </w:tc>
        <w:tc>
          <w:tcPr/>
          <w:p w:rsidR="00000000" w:rsidDel="00000000" w:rsidP="00000000" w:rsidRDefault="00000000" w:rsidRPr="00000000" w14:paraId="00000049">
            <w:pPr>
              <w:widowControl w:val="0"/>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Discharge (Q)</w:t>
            </w:r>
          </w:p>
        </w:tc>
        <w:tc>
          <w:tcPr/>
          <w:p w:rsidR="00000000" w:rsidDel="00000000" w:rsidP="00000000" w:rsidRDefault="00000000" w:rsidRPr="00000000" w14:paraId="0000004A">
            <w:pPr>
              <w:widowControl w:val="0"/>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1420 m³/s</w:t>
            </w:r>
          </w:p>
        </w:tc>
        <w:tc>
          <w:tcPr/>
          <w:p w:rsidR="00000000" w:rsidDel="00000000" w:rsidP="00000000" w:rsidRDefault="00000000" w:rsidRPr="00000000" w14:paraId="0000004B">
            <w:pPr>
              <w:widowControl w:val="0"/>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1530 m³/s</w:t>
            </w:r>
          </w:p>
        </w:tc>
        <w:tc>
          <w:tcPr/>
          <w:p w:rsidR="00000000" w:rsidDel="00000000" w:rsidP="00000000" w:rsidRDefault="00000000" w:rsidRPr="00000000" w14:paraId="0000004C">
            <w:pPr>
              <w:widowControl w:val="0"/>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 m³/s</w:t>
            </w:r>
          </w:p>
        </w:tc>
        <w:tc>
          <w:tcPr/>
          <w:p w:rsidR="00000000" w:rsidDel="00000000" w:rsidP="00000000" w:rsidRDefault="00000000" w:rsidRPr="00000000" w14:paraId="0000004D">
            <w:pPr>
              <w:widowControl w:val="0"/>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90.3</w:t>
            </w:r>
          </w:p>
        </w:tc>
      </w:tr>
      <w:tr>
        <w:trPr>
          <w:cantSplit w:val="0"/>
          <w:trHeight w:val="515" w:hRule="atLeast"/>
          <w:tblHeader w:val="0"/>
        </w:trPr>
        <w:tc>
          <w:tcPr/>
          <w:p w:rsidR="00000000" w:rsidDel="00000000" w:rsidP="00000000" w:rsidRDefault="00000000" w:rsidRPr="00000000" w14:paraId="0000004E">
            <w:pPr>
              <w:widowControl w:val="0"/>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Hung Yen</w:t>
            </w:r>
          </w:p>
        </w:tc>
        <w:tc>
          <w:tcPr/>
          <w:p w:rsidR="00000000" w:rsidDel="00000000" w:rsidP="00000000" w:rsidRDefault="00000000" w:rsidRPr="00000000" w14:paraId="0000004F">
            <w:pPr>
              <w:widowControl w:val="0"/>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Hong</w:t>
            </w:r>
          </w:p>
        </w:tc>
        <w:tc>
          <w:tcPr/>
          <w:p w:rsidR="00000000" w:rsidDel="00000000" w:rsidP="00000000" w:rsidRDefault="00000000" w:rsidRPr="00000000" w14:paraId="00000050">
            <w:pPr>
              <w:widowControl w:val="0"/>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level (H)</w:t>
            </w:r>
          </w:p>
        </w:tc>
        <w:tc>
          <w:tcPr/>
          <w:p w:rsidR="00000000" w:rsidDel="00000000" w:rsidP="00000000" w:rsidRDefault="00000000" w:rsidRPr="00000000" w14:paraId="00000051">
            <w:pPr>
              <w:widowControl w:val="0"/>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1.72 m</w:t>
            </w:r>
          </w:p>
        </w:tc>
        <w:tc>
          <w:tcPr/>
          <w:p w:rsidR="00000000" w:rsidDel="00000000" w:rsidP="00000000" w:rsidRDefault="00000000" w:rsidRPr="00000000" w14:paraId="00000052">
            <w:pPr>
              <w:widowControl w:val="0"/>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1.62 m</w:t>
            </w:r>
          </w:p>
        </w:tc>
        <w:tc>
          <w:tcPr/>
          <w:p w:rsidR="00000000" w:rsidDel="00000000" w:rsidP="00000000" w:rsidRDefault="00000000" w:rsidRPr="00000000" w14:paraId="00000053">
            <w:pPr>
              <w:widowControl w:val="0"/>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 m</w:t>
            </w:r>
          </w:p>
        </w:tc>
        <w:tc>
          <w:tcPr/>
          <w:p w:rsidR="00000000" w:rsidDel="00000000" w:rsidP="00000000" w:rsidRDefault="00000000" w:rsidRPr="00000000" w14:paraId="00000054">
            <w:pPr>
              <w:widowControl w:val="0"/>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86.3</w:t>
            </w:r>
          </w:p>
        </w:tc>
      </w:tr>
    </w:tbl>
    <w:p w:rsidR="00000000" w:rsidDel="00000000" w:rsidP="00000000" w:rsidRDefault="00000000" w:rsidRPr="00000000" w14:paraId="00000055">
      <w:pPr>
        <w:widowControl w:val="0"/>
        <w:spacing w:after="80" w:before="8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widowControl w:val="0"/>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X. Calibration performance of hydrodynamic model at Red River monitoring stations (adapted from Nguyen et al., 2020). </w:t>
      </w:r>
    </w:p>
    <w:p w:rsidR="00000000" w:rsidDel="00000000" w:rsidP="00000000" w:rsidRDefault="00000000" w:rsidRPr="00000000" w14:paraId="00000057">
      <w:pPr>
        <w:widowControl w:val="0"/>
        <w:spacing w:after="80" w:before="80" w:line="276" w:lineRule="auto"/>
        <w:jc w:val="both"/>
        <w:rPr>
          <w:rFonts w:ascii="Times New Roman" w:cs="Times New Roman" w:eastAsia="Times New Roman" w:hAnsi="Times New Roman"/>
          <w:sz w:val="24"/>
          <w:szCs w:val="24"/>
        </w:rPr>
      </w:pPr>
      <w:r w:rsidDel="00000000" w:rsidR="00000000" w:rsidRPr="00000000">
        <w:rPr>
          <w:rtl w:val="0"/>
        </w:rPr>
      </w:r>
    </w:p>
    <w:tbl>
      <w:tblPr>
        <w:tblStyle w:val="Table3"/>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5.6586181203056"/>
        <w:gridCol w:w="2068.250276899531"/>
        <w:gridCol w:w="2179.049398876292"/>
        <w:gridCol w:w="2206.749179370482"/>
        <w:gridCol w:w="1555.8043377570134"/>
        <w:tblGridChange w:id="0">
          <w:tblGrid>
            <w:gridCol w:w="1015.6586181203056"/>
            <w:gridCol w:w="2068.250276899531"/>
            <w:gridCol w:w="2179.049398876292"/>
            <w:gridCol w:w="2206.749179370482"/>
            <w:gridCol w:w="1555.8043377570134"/>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widowControl w:val="0"/>
              <w:spacing w:after="80" w:before="8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widowControl w:val="0"/>
              <w:spacing w:after="80" w:before="8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Observed Max Salinity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widowControl w:val="0"/>
              <w:spacing w:after="80" w:before="8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Calculated Max Salinity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widowControl w:val="0"/>
              <w:spacing w:after="80" w:before="8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Time to Peak Difference (hrs)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widowControl w:val="0"/>
              <w:spacing w:after="80" w:before="8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Relative Error (%)</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widowControl w:val="0"/>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 Lat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widowControl w:val="0"/>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widowControl w:val="0"/>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widowControl w:val="0"/>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widowControl w:val="0"/>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widowControl w:val="0"/>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Cao Kenh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widowControl w:val="0"/>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widowControl w:val="0"/>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widowControl w:val="0"/>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widowControl w:val="0"/>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w:t>
            </w:r>
          </w:p>
        </w:tc>
      </w:tr>
    </w:tbl>
    <w:p w:rsidR="00000000" w:rsidDel="00000000" w:rsidP="00000000" w:rsidRDefault="00000000" w:rsidRPr="00000000" w14:paraId="00000067">
      <w:pPr>
        <w:widowControl w:val="0"/>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X. Advection–dispersion model calibration results for selected Red River salinity stations (adapted from Nguyen et al., 2020). </w:t>
      </w:r>
    </w:p>
    <w:p w:rsidR="00000000" w:rsidDel="00000000" w:rsidP="00000000" w:rsidRDefault="00000000" w:rsidRPr="00000000" w14:paraId="00000068">
      <w:pPr>
        <w:widowControl w:val="0"/>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hydrodynamic and salinity models show satisfactory agreement with observations, indicating that the simulation framework is suitable for salinity forecasting in the Red River system. </w:t>
      </w:r>
    </w:p>
    <w:p w:rsidR="00000000" w:rsidDel="00000000" w:rsidP="00000000" w:rsidRDefault="00000000" w:rsidRPr="00000000" w14:paraId="00000069">
      <w:pPr>
        <w:widowControl w:val="0"/>
        <w:spacing w:after="80" w:before="8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SALINITY UNDER SEA LEVEL RISE EFFECT </w:t>
      </w:r>
    </w:p>
    <w:p w:rsidR="00000000" w:rsidDel="00000000" w:rsidP="00000000" w:rsidRDefault="00000000" w:rsidRPr="00000000" w14:paraId="0000006A">
      <w:pPr>
        <w:widowControl w:val="0"/>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Hydrodynamic simulations indicate that salinity intrusion in the Red River will intensify under both RCP4.5 and RCP8.5 scenarios for 2050 and 2100.</w:t>
      </w:r>
    </w:p>
    <w:p w:rsidR="00000000" w:rsidDel="00000000" w:rsidP="00000000" w:rsidRDefault="00000000" w:rsidRPr="00000000" w14:paraId="0000006B">
      <w:pPr>
        <w:widowControl w:val="0"/>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seawater intrusion front is projected to extend approximately 40 km inland. Under the 2100 RCP8.5 scenario, maximum salinity may reach 9.12‰ at 20 km from the sea. The agriculturally critical 1‰ and 4‰ thresholds are forecast to migrate upstream to 38 km and 32 km, respectively.</w:t>
      </w:r>
    </w:p>
    <w:p w:rsidR="00000000" w:rsidDel="00000000" w:rsidP="00000000" w:rsidRDefault="00000000" w:rsidRPr="00000000" w14:paraId="0000006C">
      <w:pPr>
        <w:widowControl w:val="0"/>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beyond 40 km from the river mouth, salinity may remain elevated, reaching 2.1‰ under the most severe scenario, increasing freshwater stress in agricultural zones.</w:t>
      </w:r>
    </w:p>
    <w:p w:rsidR="00000000" w:rsidDel="00000000" w:rsidP="00000000" w:rsidRDefault="00000000" w:rsidRPr="00000000" w14:paraId="0000006D">
      <w:pPr>
        <w:widowControl w:val="0"/>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3327400"/>
            <wp:effectExtent b="0" l="0" r="0" t="0"/>
            <wp:docPr id="4" name="image1.png"/>
            <a:graphic>
              <a:graphicData uri="http://schemas.openxmlformats.org/drawingml/2006/picture">
                <pic:pic>
                  <pic:nvPicPr>
                    <pic:cNvPr id="0" name="image1.png"/>
                    <pic:cNvPicPr preferRelativeResize="0"/>
                  </pic:nvPicPr>
                  <pic:blipFill>
                    <a:blip r:embed="rId10"/>
                    <a:srcRect b="5072" l="0" r="0" t="0"/>
                    <a:stretch>
                      <a:fillRect/>
                    </a:stretch>
                  </pic:blipFill>
                  <pic:spPr>
                    <a:xfrm>
                      <a:off x="0" y="0"/>
                      <a:ext cx="573405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widowControl w:val="0"/>
        <w:spacing w:after="120" w:before="40" w:line="276" w:lineRule="auto"/>
        <w:jc w:val="center"/>
        <w:rPr>
          <w:rFonts w:ascii="Times New Roman" w:cs="Times New Roman" w:eastAsia="Times New Roman" w:hAnsi="Times New Roman"/>
          <w:i w:val="1"/>
          <w:iCs w:val="1"/>
          <w:color w:val="555555"/>
          <w:sz w:val="18"/>
          <w:szCs w:val="18"/>
        </w:rPr>
      </w:pPr>
      <w:r w:rsidDel="00000000" w:rsidR="00000000" w:rsidRPr="00000000">
        <w:rPr>
          <w:rFonts w:ascii="Times New Roman" w:cs="Times New Roman" w:eastAsia="Times New Roman" w:hAnsi="Times New Roman"/>
          <w:i w:val="1"/>
          <w:iCs w:val="1"/>
          <w:color w:val="555555"/>
          <w:sz w:val="18"/>
          <w:szCs w:val="18"/>
          <w:rtl w:val="0"/>
        </w:rPr>
        <w:t xml:space="preserve">Figure 2. Salinity intrusion along the Red River under different sea level rise scenarios. Source: Nguyen et al. (2020).</w:t>
      </w:r>
    </w:p>
    <w:p w:rsidR="00000000" w:rsidDel="00000000" w:rsidP="00000000" w:rsidRDefault="00000000" w:rsidRPr="00000000" w14:paraId="0000006F">
      <w:pPr>
        <w:widowControl w:val="0"/>
        <w:spacing w:after="80" w:before="8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widowControl w:val="0"/>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 salinity concentration along the mainstream Red River under different sea-level rise scenarios </w:t>
      </w:r>
    </w:p>
    <w:p w:rsidR="00000000" w:rsidDel="00000000" w:rsidP="00000000" w:rsidRDefault="00000000" w:rsidRPr="00000000" w14:paraId="00000071">
      <w:pPr>
        <w:pStyle w:val="Heading1"/>
        <w:widowControl w:val="0"/>
        <w:spacing w:before="480" w:line="276" w:lineRule="auto"/>
        <w:jc w:val="both"/>
        <w:rPr>
          <w:rFonts w:ascii="Times New Roman" w:cs="Times New Roman" w:eastAsia="Times New Roman" w:hAnsi="Times New Roman"/>
          <w:color w:val="000000"/>
          <w:sz w:val="30"/>
          <w:szCs w:val="30"/>
        </w:rPr>
      </w:pPr>
      <w:bookmarkStart w:colFirst="0" w:colLast="0" w:name="_w3im17kc0l73" w:id="4"/>
      <w:bookmarkEnd w:id="4"/>
      <w:r w:rsidDel="00000000" w:rsidR="00000000" w:rsidRPr="00000000">
        <w:rPr>
          <w:rFonts w:ascii="Times New Roman" w:cs="Times New Roman" w:eastAsia="Times New Roman" w:hAnsi="Times New Roman"/>
          <w:color w:val="000000"/>
          <w:sz w:val="30"/>
          <w:szCs w:val="30"/>
          <w:rtl w:val="0"/>
        </w:rPr>
        <w:t xml:space="preserve">2. Solution Overview</w:t>
      </w:r>
    </w:p>
    <w:p w:rsidR="00000000" w:rsidDel="00000000" w:rsidP="00000000" w:rsidRDefault="00000000" w:rsidRPr="00000000" w14:paraId="00000072">
      <w:pPr>
        <w:widowControl w:val="0"/>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SaliGuard is an end-to-end IoT and AI early warning system that predicts salinity intrusion 24 to 72 hours in advance and delivers color-coded risk alerts directly to farmers' smartphones - in plain language they can act on immediately.</w:t>
      </w:r>
    </w:p>
    <w:p w:rsidR="00000000" w:rsidDel="00000000" w:rsidP="00000000" w:rsidRDefault="00000000" w:rsidRPr="00000000" w14:paraId="00000073">
      <w:pPr>
        <w:widowControl w:val="0"/>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built on three integrated layers:</w:t>
      </w:r>
    </w:p>
    <w:p w:rsidR="00000000" w:rsidDel="00000000" w:rsidP="00000000" w:rsidRDefault="00000000" w:rsidRPr="00000000" w14:paraId="00000074">
      <w:pPr>
        <w:widowControl w:val="0"/>
        <w:spacing w:after="40" w:before="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24"/>
          <w:szCs w:val="24"/>
          <w:rtl w:val="0"/>
        </w:rPr>
        <w:t xml:space="preserve">Hardware Layer: A solar-powered, waterproof IoT field unit with an EC (electrical conductivity) sensor, water level sensor, and temperature probe. It transmits real-time data via 4G to the cloud from any riverside location, with no grid power needed.</w:t>
      </w:r>
    </w:p>
    <w:p w:rsidR="00000000" w:rsidDel="00000000" w:rsidP="00000000" w:rsidRDefault="00000000" w:rsidRPr="00000000" w14:paraId="00000075">
      <w:pPr>
        <w:widowControl w:val="0"/>
        <w:spacing w:after="40" w:before="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24"/>
          <w:szCs w:val="24"/>
          <w:rtl w:val="0"/>
        </w:rPr>
        <w:t xml:space="preserve">Intelligence Layer: An XGBoost machine learning model trained on historical salinity, tidal, and river discharge data - including ENSO cycle patterns that directly affect sea levels in Hai Phong (Nguyen et al., 2022). The model generates salinity forecasts at 24h, 48h, and 72h intervals.</w:t>
      </w:r>
    </w:p>
    <w:p w:rsidR="00000000" w:rsidDel="00000000" w:rsidP="00000000" w:rsidRDefault="00000000" w:rsidRPr="00000000" w14:paraId="00000076">
      <w:pPr>
        <w:widowControl w:val="0"/>
        <w:spacing w:after="40" w:before="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24"/>
          <w:szCs w:val="24"/>
          <w:rtl w:val="0"/>
        </w:rPr>
        <w:t xml:space="preserve">User Layer: A Flutter mobile app with color-coded risk alerts, a live salinity map, trend charts, and an AI chatbot (Gemini API) that answers farmers' questions in plain Vietnamese - no technical knowledge required.</w:t>
      </w:r>
    </w:p>
    <w:p w:rsidR="00000000" w:rsidDel="00000000" w:rsidP="00000000" w:rsidRDefault="00000000" w:rsidRPr="00000000" w14:paraId="00000077">
      <w:pPr>
        <w:widowControl w:val="0"/>
        <w:spacing w:after="40" w:before="4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widowControl w:val="0"/>
        <w:spacing w:after="40" w:before="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870200"/>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widowControl w:val="0"/>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A">
      <w:pPr>
        <w:widowControl w:val="0"/>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key difference between SaliGuard and conventional systems is simple: SaliGuard predicts - it does not just detect. While existing systems notify farmers after saltwater has already arrived, SaliGuard gives communities a meaningful window of time to act.</w:t>
      </w:r>
    </w:p>
    <w:p w:rsidR="00000000" w:rsidDel="00000000" w:rsidP="00000000" w:rsidRDefault="00000000" w:rsidRPr="00000000" w14:paraId="0000007B">
      <w:pPr>
        <w:pStyle w:val="Heading1"/>
        <w:widowControl w:val="0"/>
        <w:spacing w:before="480" w:line="276" w:lineRule="auto"/>
        <w:jc w:val="both"/>
        <w:rPr>
          <w:rFonts w:ascii="Times New Roman" w:cs="Times New Roman" w:eastAsia="Times New Roman" w:hAnsi="Times New Roman"/>
          <w:color w:val="000000"/>
          <w:sz w:val="30"/>
          <w:szCs w:val="30"/>
        </w:rPr>
      </w:pPr>
      <w:bookmarkStart w:colFirst="0" w:colLast="0" w:name="_rbojob947gg7" w:id="5"/>
      <w:bookmarkEnd w:id="5"/>
      <w:r w:rsidDel="00000000" w:rsidR="00000000" w:rsidRPr="00000000">
        <w:rPr>
          <w:rFonts w:ascii="Times New Roman" w:cs="Times New Roman" w:eastAsia="Times New Roman" w:hAnsi="Times New Roman"/>
          <w:color w:val="000000"/>
          <w:sz w:val="30"/>
          <w:szCs w:val="30"/>
          <w:rtl w:val="0"/>
        </w:rPr>
        <w:t xml:space="preserve">3. Technical Architecture</w:t>
      </w:r>
    </w:p>
    <w:p w:rsidR="00000000" w:rsidDel="00000000" w:rsidP="00000000" w:rsidRDefault="00000000" w:rsidRPr="00000000" w14:paraId="0000007C">
      <w:pPr>
        <w:pStyle w:val="Heading2"/>
        <w:widowControl w:val="0"/>
        <w:spacing w:before="360" w:line="276" w:lineRule="auto"/>
        <w:jc w:val="both"/>
        <w:rPr>
          <w:rFonts w:ascii="Times New Roman" w:cs="Times New Roman" w:eastAsia="Times New Roman" w:hAnsi="Times New Roman"/>
          <w:color w:val="000000"/>
          <w:sz w:val="26"/>
          <w:szCs w:val="26"/>
        </w:rPr>
      </w:pPr>
      <w:bookmarkStart w:colFirst="0" w:colLast="0" w:name="_v38u0yxts5mt" w:id="6"/>
      <w:bookmarkEnd w:id="6"/>
      <w:r w:rsidDel="00000000" w:rsidR="00000000" w:rsidRPr="00000000">
        <w:rPr>
          <w:rFonts w:ascii="Times New Roman" w:cs="Times New Roman" w:eastAsia="Times New Roman" w:hAnsi="Times New Roman"/>
          <w:color w:val="000000"/>
          <w:sz w:val="26"/>
          <w:szCs w:val="26"/>
          <w:rtl w:val="0"/>
        </w:rPr>
        <w:t xml:space="preserve">3.1 Hardware Design</w:t>
      </w:r>
    </w:p>
    <w:p w:rsidR="00000000" w:rsidDel="00000000" w:rsidP="00000000" w:rsidRDefault="00000000" w:rsidRPr="00000000" w14:paraId="0000007D">
      <w:pPr>
        <w:widowControl w:val="0"/>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SaliGuard field unit is built around a Raspberry Pi single-board computer, which can run lightweight AI inference locally - this means the system still works even when the internet connection is slow or unstable. The unit is fully solar-powered and sealed in a waterproof IP65 enclosure for permanent deployment beside rivers and canals.</w:t>
      </w:r>
    </w:p>
    <w:p w:rsidR="00000000" w:rsidDel="00000000" w:rsidP="00000000" w:rsidRDefault="00000000" w:rsidRPr="00000000" w14:paraId="0000007E">
      <w:pPr>
        <w:widowControl w:val="0"/>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85"/>
        <w:gridCol w:w="5595"/>
        <w:tblGridChange w:id="0">
          <w:tblGrid>
            <w:gridCol w:w="3285"/>
            <w:gridCol w:w="5595"/>
          </w:tblGrid>
        </w:tblGridChange>
      </w:tblGrid>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1b5e20" w:val="clear"/>
            <w:tcMar>
              <w:top w:w="80.0" w:type="dxa"/>
              <w:left w:w="120.0" w:type="dxa"/>
              <w:bottom w:w="80.0" w:type="dxa"/>
              <w:right w:w="120.0" w:type="dxa"/>
            </w:tcMar>
          </w:tcPr>
          <w:p w:rsidR="00000000" w:rsidDel="00000000" w:rsidP="00000000" w:rsidRDefault="00000000" w:rsidRPr="00000000" w14:paraId="0000007F">
            <w:pPr>
              <w:widowControl w:val="0"/>
              <w:spacing w:line="276" w:lineRule="auto"/>
              <w:jc w:val="both"/>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Component</w:t>
            </w:r>
          </w:p>
        </w:tc>
        <w:tc>
          <w:tcPr>
            <w:tcBorders>
              <w:top w:color="cccccc" w:space="0" w:sz="6" w:val="single"/>
              <w:left w:color="cccccc" w:space="0" w:sz="6" w:val="single"/>
              <w:bottom w:color="cccccc" w:space="0" w:sz="6" w:val="single"/>
              <w:right w:color="cccccc" w:space="0" w:sz="6" w:val="single"/>
            </w:tcBorders>
            <w:shd w:fill="1b5e20" w:val="clear"/>
            <w:tcMar>
              <w:top w:w="80.0" w:type="dxa"/>
              <w:left w:w="120.0" w:type="dxa"/>
              <w:bottom w:w="80.0" w:type="dxa"/>
              <w:right w:w="120.0" w:type="dxa"/>
            </w:tcMar>
          </w:tcPr>
          <w:p w:rsidR="00000000" w:rsidDel="00000000" w:rsidP="00000000" w:rsidRDefault="00000000" w:rsidRPr="00000000" w14:paraId="00000080">
            <w:pPr>
              <w:widowControl w:val="0"/>
              <w:spacing w:line="276" w:lineRule="auto"/>
              <w:jc w:val="both"/>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What It Does</w:t>
            </w:r>
          </w:p>
        </w:tc>
      </w:tr>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f1f8e9" w:val="clear"/>
            <w:tcMar>
              <w:top w:w="80.0" w:type="dxa"/>
              <w:left w:w="120.0" w:type="dxa"/>
              <w:bottom w:w="80.0" w:type="dxa"/>
              <w:right w:w="120.0" w:type="dxa"/>
            </w:tcMar>
          </w:tcPr>
          <w:p w:rsidR="00000000" w:rsidDel="00000000" w:rsidP="00000000" w:rsidRDefault="00000000" w:rsidRPr="00000000" w14:paraId="00000081">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Raspberry Pi</w:t>
            </w:r>
          </w:p>
        </w:tc>
        <w:tc>
          <w:tcPr>
            <w:tcBorders>
              <w:top w:color="cccccc" w:space="0" w:sz="6" w:val="single"/>
              <w:left w:color="cccccc" w:space="0" w:sz="6" w:val="single"/>
              <w:bottom w:color="cccccc" w:space="0" w:sz="6" w:val="single"/>
              <w:right w:color="cccccc" w:space="0" w:sz="6" w:val="single"/>
            </w:tcBorders>
            <w:shd w:fill="f1f8e9" w:val="clear"/>
            <w:tcMar>
              <w:top w:w="80.0" w:type="dxa"/>
              <w:left w:w="120.0" w:type="dxa"/>
              <w:bottom w:w="80.0" w:type="dxa"/>
              <w:right w:w="120.0" w:type="dxa"/>
            </w:tcMar>
          </w:tcPr>
          <w:p w:rsidR="00000000" w:rsidDel="00000000" w:rsidP="00000000" w:rsidRDefault="00000000" w:rsidRPr="00000000" w14:paraId="00000082">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brain - runs AI model and sends data to the cloud</w:t>
            </w:r>
          </w:p>
        </w:tc>
      </w:tr>
      <w:tr>
        <w:trPr>
          <w:cantSplit w:val="0"/>
          <w:trHeight w:val="63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83">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 Sensor Module</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84">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Measures water saltiness (electrical conductivity, 0-20 mS/cm)</w:t>
            </w:r>
          </w:p>
        </w:tc>
      </w:tr>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f1f8e9" w:val="clear"/>
            <w:tcMar>
              <w:top w:w="80.0" w:type="dxa"/>
              <w:left w:w="120.0" w:type="dxa"/>
              <w:bottom w:w="80.0" w:type="dxa"/>
              <w:right w:w="120.0" w:type="dxa"/>
            </w:tcMar>
          </w:tcPr>
          <w:p w:rsidR="00000000" w:rsidDel="00000000" w:rsidP="00000000" w:rsidRDefault="00000000" w:rsidRPr="00000000" w14:paraId="00000085">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Waterproof DS18B20</w:t>
            </w:r>
          </w:p>
        </w:tc>
        <w:tc>
          <w:tcPr>
            <w:tcBorders>
              <w:top w:color="cccccc" w:space="0" w:sz="6" w:val="single"/>
              <w:left w:color="cccccc" w:space="0" w:sz="6" w:val="single"/>
              <w:bottom w:color="cccccc" w:space="0" w:sz="6" w:val="single"/>
              <w:right w:color="cccccc" w:space="0" w:sz="6" w:val="single"/>
            </w:tcBorders>
            <w:shd w:fill="f1f8e9" w:val="clear"/>
            <w:tcMar>
              <w:top w:w="80.0" w:type="dxa"/>
              <w:left w:w="120.0" w:type="dxa"/>
              <w:bottom w:w="80.0" w:type="dxa"/>
              <w:right w:w="120.0" w:type="dxa"/>
            </w:tcMar>
          </w:tcPr>
          <w:p w:rsidR="00000000" w:rsidDel="00000000" w:rsidP="00000000" w:rsidRDefault="00000000" w:rsidRPr="00000000" w14:paraId="00000086">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Measures water temperature to improve EC accuracy</w:t>
            </w:r>
          </w:p>
        </w:tc>
      </w:tr>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87">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Ultrasonic HC-SR04</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88">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Measures water level</w:t>
            </w:r>
          </w:p>
        </w:tc>
      </w:tr>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f1f8e9" w:val="clear"/>
            <w:tcMar>
              <w:top w:w="80.0" w:type="dxa"/>
              <w:left w:w="120.0" w:type="dxa"/>
              <w:bottom w:w="80.0" w:type="dxa"/>
              <w:right w:w="120.0" w:type="dxa"/>
            </w:tcMar>
          </w:tcPr>
          <w:p w:rsidR="00000000" w:rsidDel="00000000" w:rsidP="00000000" w:rsidRDefault="00000000" w:rsidRPr="00000000" w14:paraId="00000089">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Cellular SIM Module</w:t>
            </w:r>
          </w:p>
        </w:tc>
        <w:tc>
          <w:tcPr>
            <w:tcBorders>
              <w:top w:color="cccccc" w:space="0" w:sz="6" w:val="single"/>
              <w:left w:color="cccccc" w:space="0" w:sz="6" w:val="single"/>
              <w:bottom w:color="cccccc" w:space="0" w:sz="6" w:val="single"/>
              <w:right w:color="cccccc" w:space="0" w:sz="6" w:val="single"/>
            </w:tcBorders>
            <w:shd w:fill="f1f8e9" w:val="clear"/>
            <w:tcMar>
              <w:top w:w="80.0" w:type="dxa"/>
              <w:left w:w="120.0" w:type="dxa"/>
              <w:bottom w:w="80.0" w:type="dxa"/>
              <w:right w:w="120.0" w:type="dxa"/>
            </w:tcMar>
          </w:tcPr>
          <w:p w:rsidR="00000000" w:rsidDel="00000000" w:rsidP="00000000" w:rsidRDefault="00000000" w:rsidRPr="00000000" w14:paraId="0000008A">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Sends data to Firebase cloud in real time</w:t>
            </w:r>
          </w:p>
        </w:tc>
      </w:tr>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8B">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Solar Panel + Li-ion Battery</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8C">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Fully off-grid - no electricity connection needed</w:t>
            </w:r>
          </w:p>
        </w:tc>
      </w:tr>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f1f8e9" w:val="clear"/>
            <w:tcMar>
              <w:top w:w="80.0" w:type="dxa"/>
              <w:left w:w="120.0" w:type="dxa"/>
              <w:bottom w:w="80.0" w:type="dxa"/>
              <w:right w:w="120.0" w:type="dxa"/>
            </w:tcMar>
          </w:tcPr>
          <w:p w:rsidR="00000000" w:rsidDel="00000000" w:rsidP="00000000" w:rsidRDefault="00000000" w:rsidRPr="00000000" w14:paraId="0000008D">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IP68 Waterproof Enclosure</w:t>
            </w:r>
          </w:p>
        </w:tc>
        <w:tc>
          <w:tcPr>
            <w:tcBorders>
              <w:top w:color="cccccc" w:space="0" w:sz="6" w:val="single"/>
              <w:left w:color="cccccc" w:space="0" w:sz="6" w:val="single"/>
              <w:bottom w:color="cccccc" w:space="0" w:sz="6" w:val="single"/>
              <w:right w:color="cccccc" w:space="0" w:sz="6" w:val="single"/>
            </w:tcBorders>
            <w:shd w:fill="f1f8e9" w:val="clear"/>
            <w:tcMar>
              <w:top w:w="80.0" w:type="dxa"/>
              <w:left w:w="120.0" w:type="dxa"/>
              <w:bottom w:w="80.0" w:type="dxa"/>
              <w:right w:w="120.0" w:type="dxa"/>
            </w:tcMar>
          </w:tcPr>
          <w:p w:rsidR="00000000" w:rsidDel="00000000" w:rsidP="00000000" w:rsidRDefault="00000000" w:rsidRPr="00000000" w14:paraId="0000008E">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Protects the electronics from rain and flooding</w:t>
            </w:r>
          </w:p>
        </w:tc>
      </w:tr>
    </w:tbl>
    <w:p w:rsidR="00000000" w:rsidDel="00000000" w:rsidP="00000000" w:rsidRDefault="00000000" w:rsidRPr="00000000" w14:paraId="0000008F">
      <w:pPr>
        <w:widowControl w:val="0"/>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0">
      <w:pPr>
        <w:pStyle w:val="Heading2"/>
        <w:widowControl w:val="0"/>
        <w:spacing w:before="360" w:line="276" w:lineRule="auto"/>
        <w:jc w:val="both"/>
        <w:rPr>
          <w:rFonts w:ascii="Times New Roman" w:cs="Times New Roman" w:eastAsia="Times New Roman" w:hAnsi="Times New Roman"/>
          <w:color w:val="000000"/>
          <w:sz w:val="26"/>
          <w:szCs w:val="26"/>
        </w:rPr>
      </w:pPr>
      <w:bookmarkStart w:colFirst="0" w:colLast="0" w:name="_5e2g9m2klgf8" w:id="7"/>
      <w:bookmarkEnd w:id="7"/>
      <w:r w:rsidDel="00000000" w:rsidR="00000000" w:rsidRPr="00000000">
        <w:rPr>
          <w:rFonts w:ascii="Times New Roman" w:cs="Times New Roman" w:eastAsia="Times New Roman" w:hAnsi="Times New Roman"/>
          <w:color w:val="000000"/>
          <w:sz w:val="26"/>
          <w:szCs w:val="26"/>
          <w:rtl w:val="0"/>
        </w:rPr>
        <w:t xml:space="preserve">3.2 AI Forecasting Model</w:t>
      </w:r>
    </w:p>
    <w:p w:rsidR="00000000" w:rsidDel="00000000" w:rsidP="00000000" w:rsidRDefault="00000000" w:rsidRPr="00000000" w14:paraId="00000091">
      <w:pPr>
        <w:widowControl w:val="0"/>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SaliGuard uses an XGBoost machine learning model to predict salinity levels 24-72 hours before they arrive. This type of model has been validated in scientific research on Vietnam's river systems and performs very well on hydrological time-series data.</w:t>
      </w:r>
    </w:p>
    <w:p w:rsidR="00000000" w:rsidDel="00000000" w:rsidP="00000000" w:rsidRDefault="00000000" w:rsidRPr="00000000" w14:paraId="00000092">
      <w:pPr>
        <w:widowControl w:val="0"/>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important feature of SaliGuard's AI model is the inclusion of ENSO (El Nino-Southern Oscillation) data as an input. Research shows that El Nino events cause sea levels at Hai Phong to rise by up to 7.2 cm above normal </w:t>
      </w:r>
      <w:r w:rsidDel="00000000" w:rsidR="00000000" w:rsidRPr="00000000">
        <w:rPr>
          <w:rFonts w:ascii="Times New Roman" w:cs="Times New Roman" w:eastAsia="Times New Roman" w:hAnsi="Times New Roman"/>
          <w:i w:val="1"/>
          <w:iCs w:val="1"/>
          <w:sz w:val="24"/>
          <w:szCs w:val="24"/>
          <w:rtl w:val="0"/>
        </w:rPr>
        <w:t xml:space="preserve">(Nguyen et al., 2022)</w:t>
      </w:r>
      <w:r w:rsidDel="00000000" w:rsidR="00000000" w:rsidRPr="00000000">
        <w:rPr>
          <w:rFonts w:ascii="Times New Roman" w:cs="Times New Roman" w:eastAsia="Times New Roman" w:hAnsi="Times New Roman"/>
          <w:sz w:val="24"/>
          <w:szCs w:val="24"/>
          <w:rtl w:val="0"/>
        </w:rPr>
        <w:t xml:space="preserve"> - which directly worsens salinity intrusion. By incorporating this signal, SaliGuard can predict higher-risk periods weeks in advance, not just hours.</w:t>
      </w:r>
    </w:p>
    <w:p w:rsidR="00000000" w:rsidDel="00000000" w:rsidP="00000000" w:rsidRDefault="00000000" w:rsidRPr="00000000" w14:paraId="00000093">
      <w:pPr>
        <w:widowControl w:val="0"/>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2100"/>
        <w:gridCol w:w="4245"/>
        <w:tblGridChange w:id="0">
          <w:tblGrid>
            <w:gridCol w:w="2535"/>
            <w:gridCol w:w="2100"/>
            <w:gridCol w:w="4245"/>
          </w:tblGrid>
        </w:tblGridChange>
      </w:tblGrid>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1b5e20" w:val="clear"/>
            <w:tcMar>
              <w:top w:w="80.0" w:type="dxa"/>
              <w:left w:w="120.0" w:type="dxa"/>
              <w:bottom w:w="80.0" w:type="dxa"/>
              <w:right w:w="120.0" w:type="dxa"/>
            </w:tcMar>
          </w:tcPr>
          <w:p w:rsidR="00000000" w:rsidDel="00000000" w:rsidP="00000000" w:rsidRDefault="00000000" w:rsidRPr="00000000" w14:paraId="00000094">
            <w:pPr>
              <w:widowControl w:val="0"/>
              <w:spacing w:line="276" w:lineRule="auto"/>
              <w:jc w:val="both"/>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Alert Level</w:t>
            </w:r>
          </w:p>
        </w:tc>
        <w:tc>
          <w:tcPr>
            <w:tcBorders>
              <w:top w:color="cccccc" w:space="0" w:sz="6" w:val="single"/>
              <w:left w:color="cccccc" w:space="0" w:sz="6" w:val="single"/>
              <w:bottom w:color="cccccc" w:space="0" w:sz="6" w:val="single"/>
              <w:right w:color="cccccc" w:space="0" w:sz="6" w:val="single"/>
            </w:tcBorders>
            <w:shd w:fill="1b5e20" w:val="clear"/>
            <w:tcMar>
              <w:top w:w="80.0" w:type="dxa"/>
              <w:left w:w="120.0" w:type="dxa"/>
              <w:bottom w:w="80.0" w:type="dxa"/>
              <w:right w:w="120.0" w:type="dxa"/>
            </w:tcMar>
          </w:tcPr>
          <w:p w:rsidR="00000000" w:rsidDel="00000000" w:rsidP="00000000" w:rsidRDefault="00000000" w:rsidRPr="00000000" w14:paraId="00000095">
            <w:pPr>
              <w:widowControl w:val="0"/>
              <w:spacing w:line="276" w:lineRule="auto"/>
              <w:jc w:val="both"/>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Salinity</w:t>
            </w:r>
          </w:p>
        </w:tc>
        <w:tc>
          <w:tcPr>
            <w:tcBorders>
              <w:top w:color="cccccc" w:space="0" w:sz="6" w:val="single"/>
              <w:left w:color="cccccc" w:space="0" w:sz="6" w:val="single"/>
              <w:bottom w:color="cccccc" w:space="0" w:sz="6" w:val="single"/>
              <w:right w:color="cccccc" w:space="0" w:sz="6" w:val="single"/>
            </w:tcBorders>
            <w:shd w:fill="1b5e20" w:val="clear"/>
            <w:tcMar>
              <w:top w:w="80.0" w:type="dxa"/>
              <w:left w:w="120.0" w:type="dxa"/>
              <w:bottom w:w="80.0" w:type="dxa"/>
              <w:right w:w="120.0" w:type="dxa"/>
            </w:tcMar>
          </w:tcPr>
          <w:p w:rsidR="00000000" w:rsidDel="00000000" w:rsidP="00000000" w:rsidRDefault="00000000" w:rsidRPr="00000000" w14:paraId="00000096">
            <w:pPr>
              <w:widowControl w:val="0"/>
              <w:spacing w:line="276" w:lineRule="auto"/>
              <w:jc w:val="both"/>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What the Farmer Should Do</w:t>
            </w:r>
          </w:p>
        </w:tc>
      </w:tr>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f1f8e9" w:val="clear"/>
            <w:tcMar>
              <w:top w:w="80.0" w:type="dxa"/>
              <w:left w:w="120.0" w:type="dxa"/>
              <w:bottom w:w="80.0" w:type="dxa"/>
              <w:right w:w="120.0" w:type="dxa"/>
            </w:tcMar>
          </w:tcPr>
          <w:p w:rsidR="00000000" w:rsidDel="00000000" w:rsidP="00000000" w:rsidRDefault="00000000" w:rsidRPr="00000000" w14:paraId="00000097">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Green - Safe</w:t>
            </w:r>
          </w:p>
        </w:tc>
        <w:tc>
          <w:tcPr>
            <w:tcBorders>
              <w:top w:color="cccccc" w:space="0" w:sz="6" w:val="single"/>
              <w:left w:color="cccccc" w:space="0" w:sz="6" w:val="single"/>
              <w:bottom w:color="cccccc" w:space="0" w:sz="6" w:val="single"/>
              <w:right w:color="cccccc" w:space="0" w:sz="6" w:val="single"/>
            </w:tcBorders>
            <w:shd w:fill="f1f8e9" w:val="clear"/>
            <w:tcMar>
              <w:top w:w="80.0" w:type="dxa"/>
              <w:left w:w="120.0" w:type="dxa"/>
              <w:bottom w:w="80.0" w:type="dxa"/>
              <w:right w:w="120.0" w:type="dxa"/>
            </w:tcMar>
          </w:tcPr>
          <w:p w:rsidR="00000000" w:rsidDel="00000000" w:rsidP="00000000" w:rsidRDefault="00000000" w:rsidRPr="00000000" w14:paraId="00000098">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 1 g/L</w:t>
            </w:r>
          </w:p>
        </w:tc>
        <w:tc>
          <w:tcPr>
            <w:tcBorders>
              <w:top w:color="cccccc" w:space="0" w:sz="6" w:val="single"/>
              <w:left w:color="cccccc" w:space="0" w:sz="6" w:val="single"/>
              <w:bottom w:color="cccccc" w:space="0" w:sz="6" w:val="single"/>
              <w:right w:color="cccccc" w:space="0" w:sz="6" w:val="single"/>
            </w:tcBorders>
            <w:shd w:fill="f1f8e9" w:val="clear"/>
            <w:tcMar>
              <w:top w:w="80.0" w:type="dxa"/>
              <w:left w:w="120.0" w:type="dxa"/>
              <w:bottom w:w="80.0" w:type="dxa"/>
              <w:right w:w="120.0" w:type="dxa"/>
            </w:tcMar>
          </w:tcPr>
          <w:p w:rsidR="00000000" w:rsidDel="00000000" w:rsidP="00000000" w:rsidRDefault="00000000" w:rsidRPr="00000000" w14:paraId="00000099">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irrigation - no action needed</w:t>
            </w:r>
          </w:p>
        </w:tc>
      </w:tr>
      <w:tr>
        <w:trPr>
          <w:cantSplit w:val="0"/>
          <w:trHeight w:val="63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9A">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Yellow - Caution</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9B">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1 - 4 g/L</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9C">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 closely - prepare to close irrigation gates</w:t>
            </w:r>
          </w:p>
        </w:tc>
      </w:tr>
      <w:tr>
        <w:trPr>
          <w:cantSplit w:val="0"/>
          <w:trHeight w:val="630" w:hRule="atLeast"/>
          <w:tblHeader w:val="0"/>
        </w:trPr>
        <w:tc>
          <w:tcPr>
            <w:tcBorders>
              <w:top w:color="cccccc" w:space="0" w:sz="6" w:val="single"/>
              <w:left w:color="cccccc" w:space="0" w:sz="6" w:val="single"/>
              <w:bottom w:color="cccccc" w:space="0" w:sz="6" w:val="single"/>
              <w:right w:color="cccccc" w:space="0" w:sz="6" w:val="single"/>
            </w:tcBorders>
            <w:shd w:fill="f1f8e9" w:val="clear"/>
            <w:tcMar>
              <w:top w:w="80.0" w:type="dxa"/>
              <w:left w:w="120.0" w:type="dxa"/>
              <w:bottom w:w="80.0" w:type="dxa"/>
              <w:right w:w="120.0" w:type="dxa"/>
            </w:tcMar>
          </w:tcPr>
          <w:p w:rsidR="00000000" w:rsidDel="00000000" w:rsidP="00000000" w:rsidRDefault="00000000" w:rsidRPr="00000000" w14:paraId="0000009D">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 - Danger</w:t>
            </w:r>
          </w:p>
        </w:tc>
        <w:tc>
          <w:tcPr>
            <w:tcBorders>
              <w:top w:color="cccccc" w:space="0" w:sz="6" w:val="single"/>
              <w:left w:color="cccccc" w:space="0" w:sz="6" w:val="single"/>
              <w:bottom w:color="cccccc" w:space="0" w:sz="6" w:val="single"/>
              <w:right w:color="cccccc" w:space="0" w:sz="6" w:val="single"/>
            </w:tcBorders>
            <w:shd w:fill="f1f8e9" w:val="clear"/>
            <w:tcMar>
              <w:top w:w="80.0" w:type="dxa"/>
              <w:left w:w="120.0" w:type="dxa"/>
              <w:bottom w:w="80.0" w:type="dxa"/>
              <w:right w:w="120.0" w:type="dxa"/>
            </w:tcMar>
          </w:tcPr>
          <w:p w:rsidR="00000000" w:rsidDel="00000000" w:rsidP="00000000" w:rsidRDefault="00000000" w:rsidRPr="00000000" w14:paraId="0000009E">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 4 g/L</w:t>
            </w:r>
          </w:p>
        </w:tc>
        <w:tc>
          <w:tcPr>
            <w:tcBorders>
              <w:top w:color="cccccc" w:space="0" w:sz="6" w:val="single"/>
              <w:left w:color="cccccc" w:space="0" w:sz="6" w:val="single"/>
              <w:bottom w:color="cccccc" w:space="0" w:sz="6" w:val="single"/>
              <w:right w:color="cccccc" w:space="0" w:sz="6" w:val="single"/>
            </w:tcBorders>
            <w:shd w:fill="f1f8e9" w:val="clear"/>
            <w:tcMar>
              <w:top w:w="80.0" w:type="dxa"/>
              <w:left w:w="120.0" w:type="dxa"/>
              <w:bottom w:w="80.0" w:type="dxa"/>
              <w:right w:w="120.0" w:type="dxa"/>
            </w:tcMar>
          </w:tcPr>
          <w:p w:rsidR="00000000" w:rsidDel="00000000" w:rsidP="00000000" w:rsidRDefault="00000000" w:rsidRPr="00000000" w14:paraId="0000009F">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 sluice gates now - protect freshwater reserves immediately</w:t>
            </w:r>
          </w:p>
        </w:tc>
      </w:tr>
    </w:tbl>
    <w:p w:rsidR="00000000" w:rsidDel="00000000" w:rsidP="00000000" w:rsidRDefault="00000000" w:rsidRPr="00000000" w14:paraId="000000A0">
      <w:pPr>
        <w:widowControl w:val="0"/>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1">
      <w:pPr>
        <w:widowControl w:val="0"/>
        <w:spacing w:after="80" w:before="8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Note: </w:t>
      </w:r>
      <w:r w:rsidDel="00000000" w:rsidR="00000000" w:rsidRPr="00000000">
        <w:rPr>
          <w:rFonts w:ascii="Times New Roman" w:cs="Times New Roman" w:eastAsia="Times New Roman" w:hAnsi="Times New Roman"/>
          <w:sz w:val="24"/>
          <w:szCs w:val="24"/>
          <w:rtl w:val="0"/>
        </w:rPr>
        <w:t xml:space="preserve">The 1 g/L and 4 g/L thresholds are based on established Vietnamese agricultural water quality standards, and are the same thresholds used in peer-reviewed research on the Red - Thai Binh River delta </w:t>
      </w:r>
      <w:r w:rsidDel="00000000" w:rsidR="00000000" w:rsidRPr="00000000">
        <w:rPr>
          <w:rFonts w:ascii="Times New Roman" w:cs="Times New Roman" w:eastAsia="Times New Roman" w:hAnsi="Times New Roman"/>
          <w:i w:val="1"/>
          <w:iCs w:val="1"/>
          <w:sz w:val="24"/>
          <w:szCs w:val="24"/>
          <w:rtl w:val="0"/>
        </w:rPr>
        <w:t xml:space="preserve">(Nguyen et al., 2020).</w:t>
      </w:r>
    </w:p>
    <w:p w:rsidR="00000000" w:rsidDel="00000000" w:rsidP="00000000" w:rsidRDefault="00000000" w:rsidRPr="00000000" w14:paraId="000000A2">
      <w:pPr>
        <w:pStyle w:val="Heading2"/>
        <w:widowControl w:val="0"/>
        <w:spacing w:before="360" w:line="276" w:lineRule="auto"/>
        <w:jc w:val="both"/>
        <w:rPr>
          <w:rFonts w:ascii="Times New Roman" w:cs="Times New Roman" w:eastAsia="Times New Roman" w:hAnsi="Times New Roman"/>
          <w:color w:val="000000"/>
          <w:sz w:val="26"/>
          <w:szCs w:val="26"/>
        </w:rPr>
      </w:pPr>
      <w:bookmarkStart w:colFirst="0" w:colLast="0" w:name="_qz1ece5juzqi" w:id="8"/>
      <w:bookmarkEnd w:id="8"/>
      <w:r w:rsidDel="00000000" w:rsidR="00000000" w:rsidRPr="00000000">
        <w:rPr>
          <w:rFonts w:ascii="Times New Roman" w:cs="Times New Roman" w:eastAsia="Times New Roman" w:hAnsi="Times New Roman"/>
          <w:color w:val="000000"/>
          <w:sz w:val="26"/>
          <w:szCs w:val="26"/>
          <w:rtl w:val="0"/>
        </w:rPr>
        <w:t xml:space="preserve">3.3 Mobile Application</w:t>
      </w:r>
    </w:p>
    <w:p w:rsidR="00000000" w:rsidDel="00000000" w:rsidP="00000000" w:rsidRDefault="00000000" w:rsidRPr="00000000" w14:paraId="000000A3">
      <w:pPr>
        <w:widowControl w:val="0"/>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SaliGuard Flutter app is designed to be used by farmers with no technical background. It uses large icons, simple color coding, and an AI chatbot (powered by Gemini API) that farmers can ask questions in natural Vietnamese - for example: 'Is it safe to water my rice field tomorrow?' or 'When will the salinity go back down?'</w:t>
      </w:r>
    </w:p>
    <w:p w:rsidR="00000000" w:rsidDel="00000000" w:rsidP="00000000" w:rsidRDefault="00000000" w:rsidRPr="00000000" w14:paraId="000000A4">
      <w:pPr>
        <w:pStyle w:val="Heading1"/>
        <w:widowControl w:val="0"/>
        <w:spacing w:before="480" w:line="276" w:lineRule="auto"/>
        <w:jc w:val="both"/>
        <w:rPr>
          <w:rFonts w:ascii="Times New Roman" w:cs="Times New Roman" w:eastAsia="Times New Roman" w:hAnsi="Times New Roman"/>
          <w:color w:val="000000"/>
          <w:sz w:val="30"/>
          <w:szCs w:val="30"/>
        </w:rPr>
      </w:pPr>
      <w:bookmarkStart w:colFirst="0" w:colLast="0" w:name="_dtqinh8bwkdk" w:id="9"/>
      <w:bookmarkEnd w:id="9"/>
      <w:r w:rsidDel="00000000" w:rsidR="00000000" w:rsidRPr="00000000">
        <w:rPr>
          <w:rFonts w:ascii="Times New Roman" w:cs="Times New Roman" w:eastAsia="Times New Roman" w:hAnsi="Times New Roman"/>
          <w:color w:val="000000"/>
          <w:sz w:val="30"/>
          <w:szCs w:val="30"/>
          <w:rtl w:val="0"/>
        </w:rPr>
        <w:t xml:space="preserve">4. Innovation &amp; Social Impact</w:t>
      </w:r>
    </w:p>
    <w:p w:rsidR="00000000" w:rsidDel="00000000" w:rsidP="00000000" w:rsidRDefault="00000000" w:rsidRPr="00000000" w14:paraId="000000A5">
      <w:pPr>
        <w:rPr/>
      </w:pPr>
      <w:r w:rsidDel="00000000" w:rsidR="00000000" w:rsidRPr="00000000">
        <w:rPr/>
        <w:drawing>
          <wp:inline distB="114300" distT="114300" distL="114300" distR="114300">
            <wp:extent cx="5731200" cy="2095500"/>
            <wp:effectExtent b="0" l="0" r="0" t="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pStyle w:val="Heading2"/>
        <w:widowControl w:val="0"/>
        <w:spacing w:before="360" w:line="276" w:lineRule="auto"/>
        <w:jc w:val="both"/>
        <w:rPr>
          <w:rFonts w:ascii="Times New Roman" w:cs="Times New Roman" w:eastAsia="Times New Roman" w:hAnsi="Times New Roman"/>
          <w:color w:val="000000"/>
          <w:sz w:val="30"/>
          <w:szCs w:val="30"/>
        </w:rPr>
      </w:pPr>
      <w:bookmarkStart w:colFirst="0" w:colLast="0" w:name="_ahp3zcbgljtb" w:id="10"/>
      <w:bookmarkEnd w:id="10"/>
      <w:r w:rsidDel="00000000" w:rsidR="00000000" w:rsidRPr="00000000">
        <w:rPr>
          <w:rFonts w:ascii="Times New Roman" w:cs="Times New Roman" w:eastAsia="Times New Roman" w:hAnsi="Times New Roman"/>
          <w:color w:val="000000"/>
          <w:sz w:val="30"/>
          <w:szCs w:val="30"/>
          <w:rtl w:val="0"/>
        </w:rPr>
        <w:t xml:space="preserve">6. Development Roadmap</w:t>
      </w:r>
    </w:p>
    <w:tbl>
      <w:tblPr>
        <w:tblStyle w:val="Table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1965"/>
        <w:gridCol w:w="4185"/>
        <w:tblGridChange w:id="0">
          <w:tblGrid>
            <w:gridCol w:w="2730"/>
            <w:gridCol w:w="1965"/>
            <w:gridCol w:w="4185"/>
          </w:tblGrid>
        </w:tblGridChange>
      </w:tblGrid>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1b5e20" w:val="clear"/>
            <w:tcMar>
              <w:top w:w="80.0" w:type="dxa"/>
              <w:left w:w="120.0" w:type="dxa"/>
              <w:bottom w:w="80.0" w:type="dxa"/>
              <w:right w:w="120.0" w:type="dxa"/>
            </w:tcMar>
          </w:tcPr>
          <w:p w:rsidR="00000000" w:rsidDel="00000000" w:rsidP="00000000" w:rsidRDefault="00000000" w:rsidRPr="00000000" w14:paraId="000000A7">
            <w:pPr>
              <w:widowControl w:val="0"/>
              <w:spacing w:line="276" w:lineRule="auto"/>
              <w:jc w:val="both"/>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Phase</w:t>
            </w:r>
          </w:p>
        </w:tc>
        <w:tc>
          <w:tcPr>
            <w:tcBorders>
              <w:top w:color="cccccc" w:space="0" w:sz="6" w:val="single"/>
              <w:left w:color="cccccc" w:space="0" w:sz="6" w:val="single"/>
              <w:bottom w:color="cccccc" w:space="0" w:sz="6" w:val="single"/>
              <w:right w:color="cccccc" w:space="0" w:sz="6" w:val="single"/>
            </w:tcBorders>
            <w:shd w:fill="1b5e20" w:val="clear"/>
            <w:tcMar>
              <w:top w:w="80.0" w:type="dxa"/>
              <w:left w:w="120.0" w:type="dxa"/>
              <w:bottom w:w="80.0" w:type="dxa"/>
              <w:right w:w="120.0" w:type="dxa"/>
            </w:tcMar>
          </w:tcPr>
          <w:p w:rsidR="00000000" w:rsidDel="00000000" w:rsidP="00000000" w:rsidRDefault="00000000" w:rsidRPr="00000000" w14:paraId="000000A8">
            <w:pPr>
              <w:widowControl w:val="0"/>
              <w:spacing w:line="276" w:lineRule="auto"/>
              <w:jc w:val="both"/>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Deadline</w:t>
            </w:r>
          </w:p>
        </w:tc>
        <w:tc>
          <w:tcPr>
            <w:tcBorders>
              <w:top w:color="cccccc" w:space="0" w:sz="6" w:val="single"/>
              <w:left w:color="cccccc" w:space="0" w:sz="6" w:val="single"/>
              <w:bottom w:color="cccccc" w:space="0" w:sz="6" w:val="single"/>
              <w:right w:color="cccccc" w:space="0" w:sz="6" w:val="single"/>
            </w:tcBorders>
            <w:shd w:fill="1b5e20" w:val="clear"/>
            <w:tcMar>
              <w:top w:w="80.0" w:type="dxa"/>
              <w:left w:w="120.0" w:type="dxa"/>
              <w:bottom w:w="80.0" w:type="dxa"/>
              <w:right w:w="120.0" w:type="dxa"/>
            </w:tcMar>
          </w:tcPr>
          <w:p w:rsidR="00000000" w:rsidDel="00000000" w:rsidP="00000000" w:rsidRDefault="00000000" w:rsidRPr="00000000" w14:paraId="000000A9">
            <w:pPr>
              <w:widowControl w:val="0"/>
              <w:spacing w:line="276" w:lineRule="auto"/>
              <w:jc w:val="both"/>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Goal</w:t>
            </w:r>
          </w:p>
        </w:tc>
      </w:tr>
      <w:tr>
        <w:trPr>
          <w:cantSplit w:val="0"/>
          <w:trHeight w:val="630" w:hRule="atLeast"/>
          <w:tblHeader w:val="0"/>
        </w:trPr>
        <w:tc>
          <w:tcPr>
            <w:tcBorders>
              <w:top w:color="cccccc" w:space="0" w:sz="6" w:val="single"/>
              <w:left w:color="cccccc" w:space="0" w:sz="6" w:val="single"/>
              <w:bottom w:color="cccccc" w:space="0" w:sz="6" w:val="single"/>
              <w:right w:color="cccccc" w:space="0" w:sz="6" w:val="single"/>
            </w:tcBorders>
            <w:shd w:fill="f1f8e9" w:val="clear"/>
            <w:tcMar>
              <w:top w:w="80.0" w:type="dxa"/>
              <w:left w:w="120.0" w:type="dxa"/>
              <w:bottom w:w="80.0" w:type="dxa"/>
              <w:right w:w="120.0" w:type="dxa"/>
            </w:tcMar>
          </w:tcPr>
          <w:p w:rsidR="00000000" w:rsidDel="00000000" w:rsidP="00000000" w:rsidRDefault="00000000" w:rsidRPr="00000000" w14:paraId="000000AA">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Hardware Prototype</w:t>
            </w:r>
          </w:p>
        </w:tc>
        <w:tc>
          <w:tcPr>
            <w:tcBorders>
              <w:top w:color="cccccc" w:space="0" w:sz="6" w:val="single"/>
              <w:left w:color="cccccc" w:space="0" w:sz="6" w:val="single"/>
              <w:bottom w:color="cccccc" w:space="0" w:sz="6" w:val="single"/>
              <w:right w:color="cccccc" w:space="0" w:sz="6" w:val="single"/>
            </w:tcBorders>
            <w:shd w:fill="f1f8e9" w:val="clear"/>
            <w:tcMar>
              <w:top w:w="80.0" w:type="dxa"/>
              <w:left w:w="120.0" w:type="dxa"/>
              <w:bottom w:w="80.0" w:type="dxa"/>
              <w:right w:w="120.0" w:type="dxa"/>
            </w:tcMar>
          </w:tcPr>
          <w:p w:rsidR="00000000" w:rsidDel="00000000" w:rsidP="00000000" w:rsidRDefault="00000000" w:rsidRPr="00000000" w14:paraId="000000AB">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April 30</w:t>
            </w:r>
          </w:p>
        </w:tc>
        <w:tc>
          <w:tcPr>
            <w:tcBorders>
              <w:top w:color="cccccc" w:space="0" w:sz="6" w:val="single"/>
              <w:left w:color="cccccc" w:space="0" w:sz="6" w:val="single"/>
              <w:bottom w:color="cccccc" w:space="0" w:sz="6" w:val="single"/>
              <w:right w:color="cccccc" w:space="0" w:sz="6" w:val="single"/>
            </w:tcBorders>
            <w:shd w:fill="f1f8e9" w:val="clear"/>
            <w:tcMar>
              <w:top w:w="80.0" w:type="dxa"/>
              <w:left w:w="120.0" w:type="dxa"/>
              <w:bottom w:w="80.0" w:type="dxa"/>
              <w:right w:w="120.0" w:type="dxa"/>
            </w:tcMar>
          </w:tcPr>
          <w:p w:rsidR="00000000" w:rsidDel="00000000" w:rsidP="00000000" w:rsidRDefault="00000000" w:rsidRPr="00000000" w14:paraId="000000AC">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unit assembled; EC sensor readings validated in water</w:t>
            </w:r>
          </w:p>
        </w:tc>
      </w:tr>
      <w:tr>
        <w:trPr>
          <w:cantSplit w:val="0"/>
          <w:trHeight w:val="63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AD">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Integration</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AE">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5</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AF">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 connected to Firebase; AI model returning predictions</w:t>
            </w:r>
          </w:p>
        </w:tc>
      </w:tr>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f1f8e9" w:val="clear"/>
            <w:tcMar>
              <w:top w:w="80.0" w:type="dxa"/>
              <w:left w:w="120.0" w:type="dxa"/>
              <w:bottom w:w="80.0" w:type="dxa"/>
              <w:right w:w="120.0" w:type="dxa"/>
            </w:tcMar>
          </w:tcPr>
          <w:p w:rsidR="00000000" w:rsidDel="00000000" w:rsidP="00000000" w:rsidRDefault="00000000" w:rsidRPr="00000000" w14:paraId="000000B0">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 Preparation</w:t>
            </w:r>
          </w:p>
        </w:tc>
        <w:tc>
          <w:tcPr>
            <w:tcBorders>
              <w:top w:color="cccccc" w:space="0" w:sz="6" w:val="single"/>
              <w:left w:color="cccccc" w:space="0" w:sz="6" w:val="single"/>
              <w:bottom w:color="cccccc" w:space="0" w:sz="6" w:val="single"/>
              <w:right w:color="cccccc" w:space="0" w:sz="6" w:val="single"/>
            </w:tcBorders>
            <w:shd w:fill="f1f8e9" w:val="clear"/>
            <w:tcMar>
              <w:top w:w="80.0" w:type="dxa"/>
              <w:left w:w="120.0" w:type="dxa"/>
              <w:bottom w:w="80.0" w:type="dxa"/>
              <w:right w:w="120.0" w:type="dxa"/>
            </w:tcMar>
          </w:tcPr>
          <w:p w:rsidR="00000000" w:rsidDel="00000000" w:rsidP="00000000" w:rsidRDefault="00000000" w:rsidRPr="00000000" w14:paraId="000000B1">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9</w:t>
            </w:r>
          </w:p>
        </w:tc>
        <w:tc>
          <w:tcPr>
            <w:tcBorders>
              <w:top w:color="cccccc" w:space="0" w:sz="6" w:val="single"/>
              <w:left w:color="cccccc" w:space="0" w:sz="6" w:val="single"/>
              <w:bottom w:color="cccccc" w:space="0" w:sz="6" w:val="single"/>
              <w:right w:color="cccccc" w:space="0" w:sz="6" w:val="single"/>
            </w:tcBorders>
            <w:shd w:fill="f1f8e9" w:val="clear"/>
            <w:tcMar>
              <w:top w:w="80.0" w:type="dxa"/>
              <w:left w:w="120.0" w:type="dxa"/>
              <w:bottom w:w="80.0" w:type="dxa"/>
              <w:right w:w="120.0" w:type="dxa"/>
            </w:tcMar>
          </w:tcPr>
          <w:p w:rsidR="00000000" w:rsidDel="00000000" w:rsidP="00000000" w:rsidRDefault="00000000" w:rsidRPr="00000000" w14:paraId="000000B2">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End-to-end demo video recorded</w:t>
            </w:r>
          </w:p>
        </w:tc>
      </w:tr>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B3">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Submission</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B4">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13</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B5">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Proposal and intro video submitted</w:t>
            </w:r>
          </w:p>
        </w:tc>
      </w:tr>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f1f8e9" w:val="clear"/>
            <w:tcMar>
              <w:top w:w="80.0" w:type="dxa"/>
              <w:left w:w="120.0" w:type="dxa"/>
              <w:bottom w:w="80.0" w:type="dxa"/>
              <w:right w:w="120.0" w:type="dxa"/>
            </w:tcMar>
          </w:tcPr>
          <w:p w:rsidR="00000000" w:rsidDel="00000000" w:rsidP="00000000" w:rsidRDefault="00000000" w:rsidRPr="00000000" w14:paraId="000000B6">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Round</w:t>
            </w:r>
          </w:p>
        </w:tc>
        <w:tc>
          <w:tcPr>
            <w:tcBorders>
              <w:top w:color="cccccc" w:space="0" w:sz="6" w:val="single"/>
              <w:left w:color="cccccc" w:space="0" w:sz="6" w:val="single"/>
              <w:bottom w:color="cccccc" w:space="0" w:sz="6" w:val="single"/>
              <w:right w:color="cccccc" w:space="0" w:sz="6" w:val="single"/>
            </w:tcBorders>
            <w:shd w:fill="f1f8e9" w:val="clear"/>
            <w:tcMar>
              <w:top w:w="80.0" w:type="dxa"/>
              <w:left w:w="120.0" w:type="dxa"/>
              <w:bottom w:w="80.0" w:type="dxa"/>
              <w:right w:w="120.0" w:type="dxa"/>
            </w:tcMar>
          </w:tcPr>
          <w:p w:rsidR="00000000" w:rsidDel="00000000" w:rsidP="00000000" w:rsidRDefault="00000000" w:rsidRPr="00000000" w14:paraId="000000B7">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June 2-28</w:t>
            </w:r>
          </w:p>
        </w:tc>
        <w:tc>
          <w:tcPr>
            <w:tcBorders>
              <w:top w:color="cccccc" w:space="0" w:sz="6" w:val="single"/>
              <w:left w:color="cccccc" w:space="0" w:sz="6" w:val="single"/>
              <w:bottom w:color="cccccc" w:space="0" w:sz="6" w:val="single"/>
              <w:right w:color="cccccc" w:space="0" w:sz="6" w:val="single"/>
            </w:tcBorders>
            <w:shd w:fill="f1f8e9" w:val="clear"/>
            <w:tcMar>
              <w:top w:w="80.0" w:type="dxa"/>
              <w:left w:w="120.0" w:type="dxa"/>
              <w:bottom w:w="80.0" w:type="dxa"/>
              <w:right w:w="120.0" w:type="dxa"/>
            </w:tcMar>
          </w:tcPr>
          <w:p w:rsidR="00000000" w:rsidDel="00000000" w:rsidP="00000000" w:rsidRDefault="00000000" w:rsidRPr="00000000" w14:paraId="000000B8">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Solution refined with expert mentorship</w:t>
            </w:r>
          </w:p>
        </w:tc>
      </w:tr>
      <w:tr>
        <w:trPr>
          <w:cantSplit w:val="0"/>
          <w:trHeight w:val="63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B9">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Hackathon</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BA">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July 2-5, VinUniversity</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BB">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working prototype presented to judges</w:t>
            </w:r>
          </w:p>
        </w:tc>
      </w:tr>
    </w:tbl>
    <w:p w:rsidR="00000000" w:rsidDel="00000000" w:rsidP="00000000" w:rsidRDefault="00000000" w:rsidRPr="00000000" w14:paraId="000000BC">
      <w:pPr>
        <w:pStyle w:val="Heading2"/>
        <w:widowControl w:val="0"/>
        <w:spacing w:before="360" w:line="276" w:lineRule="auto"/>
        <w:jc w:val="both"/>
        <w:rPr>
          <w:rFonts w:ascii="Times New Roman" w:cs="Times New Roman" w:eastAsia="Times New Roman" w:hAnsi="Times New Roman"/>
          <w:color w:val="000000"/>
          <w:sz w:val="30"/>
          <w:szCs w:val="30"/>
        </w:rPr>
      </w:pPr>
      <w:bookmarkStart w:colFirst="0" w:colLast="0" w:name="_a296ywvqfebn" w:id="11"/>
      <w:bookmarkEnd w:id="11"/>
      <w:r w:rsidDel="00000000" w:rsidR="00000000" w:rsidRPr="00000000">
        <w:rPr>
          <w:rFonts w:ascii="Times New Roman" w:cs="Times New Roman" w:eastAsia="Times New Roman" w:hAnsi="Times New Roman"/>
          <w:color w:val="000000"/>
          <w:sz w:val="30"/>
          <w:szCs w:val="30"/>
          <w:rtl w:val="0"/>
        </w:rPr>
        <w:t xml:space="preserve">7. References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widowControl w:val="0"/>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Nguyen Minh Hai, Ouillon, S., &amp; Vu Duy Vinh (2022). Sea-level rise in Hai Phong coastal area (Vietnam) and its response to ENSO - evidence from tide gauge measurement of 1960-2020. Vietnam Journal of Earth Sciences, 44(1), 109-126. https://doi.org/10.15625/2615-9783/16961</w:t>
      </w:r>
    </w:p>
    <w:p w:rsidR="00000000" w:rsidDel="00000000" w:rsidP="00000000" w:rsidRDefault="00000000" w:rsidRPr="00000000" w14:paraId="000000BF">
      <w:pPr>
        <w:widowControl w:val="0"/>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0">
      <w:pPr>
        <w:widowControl w:val="0"/>
        <w:spacing w:after="8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Nguyen Thi Hien, Nguyen Hai Yen, Balistrocchi, M., Vu Minh Cat, &amp; Ranzi, R. (2020). Salinity Dynamics under Sea Level Rise Scenarios in the Red-Thai Binh River Delta, Vietnam. Proceedings of the 22nd IAHR-APD Congress, Sapporo, Japan.</w:t>
      </w:r>
    </w:p>
    <w:p w:rsidR="00000000" w:rsidDel="00000000" w:rsidP="00000000" w:rsidRDefault="00000000" w:rsidRPr="00000000" w14:paraId="000000C1">
      <w:pPr>
        <w:widowControl w:val="0"/>
        <w:spacing w:after="80" w:before="80" w:line="276" w:lineRule="auto"/>
        <w:jc w:val="both"/>
        <w:rPr>
          <w:rFonts w:ascii="Times New Roman" w:cs="Times New Roman" w:eastAsia="Times New Roman" w:hAnsi="Times New Roman"/>
          <w:color w:val="888888"/>
        </w:rPr>
      </w:pPr>
      <w:r w:rsidDel="00000000" w:rsidR="00000000" w:rsidRPr="00000000">
        <w:rPr>
          <w:rtl w:val="0"/>
        </w:rPr>
      </w:r>
    </w:p>
    <w:p w:rsidR="00000000" w:rsidDel="00000000" w:rsidP="00000000" w:rsidRDefault="00000000" w:rsidRPr="00000000" w14:paraId="000000C2">
      <w:pPr>
        <w:widowControl w:val="0"/>
        <w:spacing w:line="276" w:lineRule="auto"/>
        <w:jc w:val="both"/>
        <w:rPr>
          <w:rFonts w:ascii="Times New Roman" w:cs="Times New Roman" w:eastAsia="Times New Roman" w:hAnsi="Times New Roman"/>
          <w:sz w:val="24"/>
          <w:szCs w:val="24"/>
        </w:rPr>
      </w:pPr>
      <w:r w:rsidDel="00000000" w:rsidR="00000000" w:rsidRPr="00000000">
        <w:rPr>
          <w:rtl w:val="0"/>
        </w:rPr>
      </w:r>
    </w:p>
    <w:sectPr>
      <w:type w:val="nextPage"/>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Arial" w:cs="Arial" w:eastAsia="Arial" w:hAnsi="Arial"/>
      <w:b w:val="1"/>
      <w:bCs w:val="1"/>
      <w:i w:val="0"/>
      <w:iCs w:val="0"/>
      <w:smallCaps w:val="0"/>
      <w:strike w:val="0"/>
      <w:color w:val="1b5e2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2e7d32"/>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1.png"/><Relationship Id="rId12" Type="http://schemas.openxmlformats.org/officeDocument/2006/relationships/image" Target="media/image2.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hyperlink" Target="https://vjs.ac.vn/jse/article/view/16961" TargetMode="External"/><Relationship Id="rId8" Type="http://schemas.openxmlformats.org/officeDocument/2006/relationships/hyperlink" Target="https://www.iahr.org/library/infor?pid=758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