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4E729" w14:textId="77777777" w:rsidR="00C91FAE" w:rsidRPr="00C91FAE" w:rsidRDefault="00C91FAE" w:rsidP="00C91FAE">
      <w:r w:rsidRPr="00C91FAE">
        <w:t>Certo, ecco una spiegazione a parole del motore di calcolo del rischio.</w:t>
      </w:r>
    </w:p>
    <w:p w14:paraId="69850BD3" w14:textId="77777777" w:rsidR="00C91FAE" w:rsidRPr="00C91FAE" w:rsidRDefault="00C91FAE" w:rsidP="00C91FAE">
      <w:r w:rsidRPr="00C91FAE">
        <w:pict w14:anchorId="15125B3F">
          <v:rect id="_x0000_i1043" style="width:0;height:1.5pt" o:hralign="center" o:hrstd="t" o:hr="t" fillcolor="#a0a0a0" stroked="f"/>
        </w:pict>
      </w:r>
    </w:p>
    <w:p w14:paraId="30238847" w14:textId="77777777" w:rsidR="00C91FAE" w:rsidRPr="00C91FAE" w:rsidRDefault="00C91FAE" w:rsidP="00C91FAE">
      <w:pPr>
        <w:rPr>
          <w:b/>
          <w:bCs/>
        </w:rPr>
      </w:pPr>
      <w:r w:rsidRPr="00C91FAE">
        <w:rPr>
          <w:b/>
          <w:bCs/>
        </w:rPr>
        <w:t>calculate_component_risk — Rischio per singolo componente</w:t>
      </w:r>
    </w:p>
    <w:p w14:paraId="5E2FD17A" w14:textId="77777777" w:rsidR="00C91FAE" w:rsidRPr="00C91FAE" w:rsidRDefault="00C91FAE" w:rsidP="00C91FAE">
      <w:r w:rsidRPr="00C91FAE">
        <w:t xml:space="preserve">Questa funzione prende in input una riga del file Excel (un componente della BOM) e il </w:t>
      </w:r>
      <w:r w:rsidRPr="00C91FAE">
        <w:rPr>
          <w:b/>
          <w:bCs/>
        </w:rPr>
        <w:t>run rate</w:t>
      </w:r>
      <w:r w:rsidRPr="00C91FAE">
        <w:t xml:space="preserve"> (ritmo di produzione settimanale), e restituisce un punteggio di rischio da 0 a 100 sommando 7 fattori:</w:t>
      </w:r>
    </w:p>
    <w:p w14:paraId="6B840C4F" w14:textId="77777777" w:rsidR="00C91FAE" w:rsidRPr="00C91FAE" w:rsidRDefault="00C91FAE" w:rsidP="00C91FAE">
      <w:pPr>
        <w:rPr>
          <w:b/>
          <w:bCs/>
        </w:rPr>
      </w:pPr>
      <w:r w:rsidRPr="00C91FAE">
        <w:rPr>
          <w:b/>
          <w:bCs/>
        </w:rPr>
        <w:t>1. Concentrazione geografica (max 25 punti)</w:t>
      </w:r>
    </w:p>
    <w:p w14:paraId="43D92E7B" w14:textId="77777777" w:rsidR="00C91FAE" w:rsidRPr="00C91FAE" w:rsidRDefault="00C91FAE" w:rsidP="00C91FAE">
      <w:r w:rsidRPr="00C91FAE">
        <w:t>Guarda in quali paesi si trovano gli stabilimenti produttivi (fino a 4). Se sono tutti in un unico paese asiatico "ad alto rischio" (Taiwan, Cina, Corea, Giappone, Malesia, Singapore, Filippine) → punteggio massimo. Meno sono concentrati in Asia, meno punti.</w:t>
      </w:r>
    </w:p>
    <w:p w14:paraId="7DD90137" w14:textId="77777777" w:rsidR="00C91FAE" w:rsidRPr="00C91FAE" w:rsidRDefault="00C91FAE" w:rsidP="00C91FAE">
      <w:pPr>
        <w:rPr>
          <w:b/>
          <w:bCs/>
        </w:rPr>
      </w:pPr>
      <w:r w:rsidRPr="00C91FAE">
        <w:rPr>
          <w:b/>
          <w:bCs/>
        </w:rPr>
        <w:t>2. Single source (max 20 punti)</w:t>
      </w:r>
    </w:p>
    <w:p w14:paraId="0910A7B3" w14:textId="77777777" w:rsidR="00C91FAE" w:rsidRPr="00C91FAE" w:rsidRDefault="00C91FAE" w:rsidP="00C91FAE">
      <w:r w:rsidRPr="00C91FAE">
        <w:t xml:space="preserve">Se il componente è prodotto in </w:t>
      </w:r>
      <w:r w:rsidRPr="00C91FAE">
        <w:rPr>
          <w:b/>
          <w:bCs/>
        </w:rPr>
        <w:t>un solo stabilimento</w:t>
      </w:r>
      <w:r w:rsidRPr="00C91FAE">
        <w:t xml:space="preserve"> → 20 punti (critico). Se sono 2 → 10 punti. Più di 2 → nessun punto. Suggerisce di qualificare un secondo fornitore e stima le ore-uomo necessarie in base alle settimane di qualifica.</w:t>
      </w:r>
    </w:p>
    <w:p w14:paraId="5EFE364C" w14:textId="77777777" w:rsidR="00C91FAE" w:rsidRPr="00C91FAE" w:rsidRDefault="00C91FAE" w:rsidP="00C91FAE">
      <w:pPr>
        <w:rPr>
          <w:b/>
          <w:bCs/>
        </w:rPr>
      </w:pPr>
      <w:r w:rsidRPr="00C91FAE">
        <w:rPr>
          <w:b/>
          <w:bCs/>
        </w:rPr>
        <w:t>3. Lead time (max 15 punti)</w:t>
      </w:r>
    </w:p>
    <w:p w14:paraId="5975EB42" w14:textId="77777777" w:rsidR="00C91FAE" w:rsidRPr="00C91FAE" w:rsidRDefault="00C91FAE" w:rsidP="00C91FAE">
      <w:r w:rsidRPr="00C91FAE">
        <w:t>Se il fornitore ha tempi di consegna superiori a 16 settimane → 15 punti. Tra 10 e 16 → 10 punti. Tra 6 e 10 → 5 punti. Suggerisce strumenti come rolling forecast o VMI per ridurre il rischio.</w:t>
      </w:r>
    </w:p>
    <w:p w14:paraId="1BCF212A" w14:textId="77777777" w:rsidR="00C91FAE" w:rsidRPr="00C91FAE" w:rsidRDefault="00C91FAE" w:rsidP="00C91FAE">
      <w:pPr>
        <w:rPr>
          <w:b/>
          <w:bCs/>
        </w:rPr>
      </w:pPr>
      <w:r w:rsidRPr="00C91FAE">
        <w:rPr>
          <w:b/>
          <w:bCs/>
        </w:rPr>
        <w:t>4. Buffer stock (max 15 punti)</w:t>
      </w:r>
    </w:p>
    <w:p w14:paraId="74380818" w14:textId="77777777" w:rsidR="00C91FAE" w:rsidRPr="00C91FAE" w:rsidRDefault="00C91FAE" w:rsidP="00C91FAE">
      <w:r w:rsidRPr="00C91FAE">
        <w:t xml:space="preserve">Calcola quante settimane di produzione copre il buffer stock attuale. Lo fa dividendo le unità di buffer per il consumo settimanale (run_rate × quantità per BOM). Se il buffer copre </w:t>
      </w:r>
      <w:r w:rsidRPr="00C91FAE">
        <w:rPr>
          <w:b/>
          <w:bCs/>
        </w:rPr>
        <w:t>meno del lead time</w:t>
      </w:r>
      <w:r w:rsidRPr="00C91FAE">
        <w:t xml:space="preserve"> → 15 punti (critico). Se copre meno di 1.5 volte il lead time → 8 punti.</w:t>
      </w:r>
    </w:p>
    <w:p w14:paraId="249B77A2" w14:textId="77777777" w:rsidR="00C91FAE" w:rsidRPr="00C91FAE" w:rsidRDefault="00C91FAE" w:rsidP="00C91FAE">
      <w:pPr>
        <w:rPr>
          <w:b/>
          <w:bCs/>
        </w:rPr>
      </w:pPr>
      <w:r w:rsidRPr="00C91FAE">
        <w:rPr>
          <w:b/>
          <w:bCs/>
        </w:rPr>
        <w:t>5. Dipendenze (max 10 punti)</w:t>
      </w:r>
    </w:p>
    <w:p w14:paraId="7B493F84" w14:textId="77777777" w:rsidR="00C91FAE" w:rsidRPr="00C91FAE" w:rsidRDefault="00C91FAE" w:rsidP="00C91FAE">
      <w:r w:rsidRPr="00C91FAE">
        <w:t xml:space="preserve">Se il componente </w:t>
      </w:r>
      <w:r w:rsidRPr="00C91FAE">
        <w:rPr>
          <w:b/>
          <w:bCs/>
        </w:rPr>
        <w:t>non è stand-alone</w:t>
      </w:r>
      <w:r w:rsidRPr="00C91FAE">
        <w:t xml:space="preserve"> (cioè dipende da altri componenti per funzionare, es. una memoria che serve a un processore) → 10 punti. Segnala quale componente è collegato.</w:t>
      </w:r>
    </w:p>
    <w:p w14:paraId="44169799" w14:textId="77777777" w:rsidR="00C91FAE" w:rsidRPr="00C91FAE" w:rsidRDefault="00C91FAE" w:rsidP="00C91FAE">
      <w:pPr>
        <w:rPr>
          <w:b/>
          <w:bCs/>
        </w:rPr>
      </w:pPr>
      <w:r w:rsidRPr="00C91FAE">
        <w:rPr>
          <w:b/>
          <w:bCs/>
        </w:rPr>
        <w:t>6. Componente proprietario (max 10 punti)</w:t>
      </w:r>
    </w:p>
    <w:p w14:paraId="31C2B11C" w14:textId="77777777" w:rsidR="00C91FAE" w:rsidRPr="00C91FAE" w:rsidRDefault="00C91FAE" w:rsidP="00C91FAE">
      <w:r w:rsidRPr="00C91FAE">
        <w:t xml:space="preserve">Se il componente è </w:t>
      </w:r>
      <w:r w:rsidRPr="00C91FAE">
        <w:rPr>
          <w:b/>
          <w:bCs/>
        </w:rPr>
        <w:t>proprietario</w:t>
      </w:r>
      <w:r w:rsidRPr="00C91FAE">
        <w:t xml:space="preserve"> (nessuna alternativa diretta sul mercato) → 10 punti. Se è semplicemente non-commodity → 5 punti. Per i proprietari suggerisce di studiare un redesign con componenti standard, stimando 200 ore-uomo.</w:t>
      </w:r>
    </w:p>
    <w:p w14:paraId="15114190" w14:textId="77777777" w:rsidR="00C91FAE" w:rsidRPr="00C91FAE" w:rsidRDefault="00C91FAE" w:rsidP="00C91FAE">
      <w:pPr>
        <w:rPr>
          <w:b/>
          <w:bCs/>
        </w:rPr>
      </w:pPr>
      <w:r w:rsidRPr="00C91FAE">
        <w:rPr>
          <w:b/>
          <w:bCs/>
        </w:rPr>
        <w:t>7. Certificazioni (max 5 punti)</w:t>
      </w:r>
    </w:p>
    <w:p w14:paraId="520CE23D" w14:textId="77777777" w:rsidR="00C91FAE" w:rsidRPr="00C91FAE" w:rsidRDefault="00C91FAE" w:rsidP="00C91FAE">
      <w:r w:rsidRPr="00C91FAE">
        <w:t>Se la riqualifica richiede più di 12 settimane → 5 punti. Tiene conto anche del tipo di certificazione richiesta.</w:t>
      </w:r>
    </w:p>
    <w:p w14:paraId="53502F73" w14:textId="77777777" w:rsidR="00C91FAE" w:rsidRPr="00C91FAE" w:rsidRDefault="00C91FAE" w:rsidP="00C91FAE">
      <w:pPr>
        <w:rPr>
          <w:b/>
          <w:bCs/>
        </w:rPr>
      </w:pPr>
      <w:r w:rsidRPr="00C91FAE">
        <w:rPr>
          <w:b/>
          <w:bCs/>
        </w:rPr>
        <w:t>Risultato finale del componente</w:t>
      </w:r>
    </w:p>
    <w:p w14:paraId="46394131" w14:textId="77777777" w:rsidR="00C91FAE" w:rsidRPr="00C91FAE" w:rsidRDefault="00C91FAE" w:rsidP="00C91FAE">
      <w:pPr>
        <w:numPr>
          <w:ilvl w:val="0"/>
          <w:numId w:val="1"/>
        </w:numPr>
      </w:pPr>
      <w:r w:rsidRPr="00C91FAE">
        <w:rPr>
          <w:b/>
          <w:bCs/>
        </w:rPr>
        <w:t>55+ punti</w:t>
      </w:r>
      <w:r w:rsidRPr="00C91FAE">
        <w:t> → Rosso (ALTO)</w:t>
      </w:r>
    </w:p>
    <w:p w14:paraId="1D86DCA7" w14:textId="77777777" w:rsidR="00C91FAE" w:rsidRPr="00C91FAE" w:rsidRDefault="00C91FAE" w:rsidP="00C91FAE">
      <w:pPr>
        <w:numPr>
          <w:ilvl w:val="0"/>
          <w:numId w:val="1"/>
        </w:numPr>
      </w:pPr>
      <w:r w:rsidRPr="00C91FAE">
        <w:rPr>
          <w:b/>
          <w:bCs/>
        </w:rPr>
        <w:lastRenderedPageBreak/>
        <w:t>30–54 punti</w:t>
      </w:r>
      <w:r w:rsidRPr="00C91FAE">
        <w:t> → Giallo (MEDIO)</w:t>
      </w:r>
    </w:p>
    <w:p w14:paraId="59CBC311" w14:textId="77777777" w:rsidR="00C91FAE" w:rsidRPr="00C91FAE" w:rsidRDefault="00C91FAE" w:rsidP="00C91FAE">
      <w:pPr>
        <w:numPr>
          <w:ilvl w:val="0"/>
          <w:numId w:val="1"/>
        </w:numPr>
      </w:pPr>
      <w:r w:rsidRPr="00C91FAE">
        <w:rPr>
          <w:b/>
          <w:bCs/>
        </w:rPr>
        <w:t>sotto 30</w:t>
      </w:r>
      <w:r w:rsidRPr="00C91FAE">
        <w:t> → Verde (BASSO)</w:t>
      </w:r>
    </w:p>
    <w:p w14:paraId="79073931" w14:textId="77777777" w:rsidR="00C91FAE" w:rsidRPr="00C91FAE" w:rsidRDefault="00C91FAE" w:rsidP="00C91FAE">
      <w:r w:rsidRPr="00C91FAE">
        <w:t>Restituisce: punteggio, colore, livello di rischio, lista dei fattori critici, suggerimenti operativi e stima delle ore-uomo per la mitigazione.</w:t>
      </w:r>
    </w:p>
    <w:p w14:paraId="2529FAB9" w14:textId="77777777" w:rsidR="00C91FAE" w:rsidRPr="00C91FAE" w:rsidRDefault="00C91FAE" w:rsidP="00C91FAE">
      <w:r w:rsidRPr="00C91FAE">
        <w:pict w14:anchorId="7C432A5E">
          <v:rect id="_x0000_i1044" style="width:0;height:1.5pt" o:hralign="center" o:hrstd="t" o:hr="t" fillcolor="#a0a0a0" stroked="f"/>
        </w:pict>
      </w:r>
    </w:p>
    <w:p w14:paraId="568450AA" w14:textId="77777777" w:rsidR="00C91FAE" w:rsidRPr="00C91FAE" w:rsidRDefault="00C91FAE" w:rsidP="00C91FAE">
      <w:pPr>
        <w:rPr>
          <w:b/>
          <w:bCs/>
        </w:rPr>
      </w:pPr>
      <w:r w:rsidRPr="00C91FAE">
        <w:rPr>
          <w:b/>
          <w:bCs/>
        </w:rPr>
        <w:t>calculate_bom_risk — Rischio complessivo della BOM</w:t>
      </w:r>
    </w:p>
    <w:p w14:paraId="2D177236" w14:textId="77777777" w:rsidR="00C91FAE" w:rsidRPr="00C91FAE" w:rsidRDefault="00C91FAE" w:rsidP="00C91FAE">
      <w:r w:rsidRPr="00C91FAE">
        <w:t xml:space="preserve">Prende tutti i rischi dei singoli componenti e calcola una </w:t>
      </w:r>
      <w:r w:rsidRPr="00C91FAE">
        <w:rPr>
          <w:b/>
          <w:bCs/>
        </w:rPr>
        <w:t>media pesata per valore economico</w:t>
      </w:r>
      <w:r w:rsidRPr="00C91FAE">
        <w:t>: ogni componente pesa in proporzione al suo costo unitario × quantità nella BOM. Così un componente costoso ad alto rischio pesa di più di uno economico. Le soglie sono le stesse (50+ rosso, 30+ giallo, sotto 30 verde).</w:t>
      </w:r>
    </w:p>
    <w:p w14:paraId="77853D08" w14:textId="77777777" w:rsidR="00C91FAE" w:rsidRPr="00C91FAE" w:rsidRDefault="00C91FAE" w:rsidP="00C91FAE">
      <w:r w:rsidRPr="00C91FAE">
        <w:pict w14:anchorId="37BD57FA">
          <v:rect id="_x0000_i1045" style="width:0;height:1.5pt" o:hralign="center" o:hrstd="t" o:hr="t" fillcolor="#a0a0a0" stroked="f"/>
        </w:pict>
      </w:r>
    </w:p>
    <w:p w14:paraId="4D835DAE" w14:textId="77777777" w:rsidR="00C91FAE" w:rsidRPr="00C91FAE" w:rsidRDefault="00C91FAE" w:rsidP="00C91FAE">
      <w:r w:rsidRPr="00C91FAE">
        <w:t>In sintesi: il motore analizza ogni componente su 7 dimensioni di rischio supply chain, assegna un punteggio, e poi aggrega tutto pesando per il valore economico di ciascun componente.</w:t>
      </w:r>
    </w:p>
    <w:p w14:paraId="68AD38FC" w14:textId="77777777" w:rsidR="00701185" w:rsidRDefault="00701185"/>
    <w:sectPr w:rsidR="00701185" w:rsidSect="00D003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E41BB"/>
    <w:multiLevelType w:val="multilevel"/>
    <w:tmpl w:val="D73E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534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FB"/>
    <w:rsid w:val="001B7ADA"/>
    <w:rsid w:val="002F39AC"/>
    <w:rsid w:val="00526A75"/>
    <w:rsid w:val="00576D05"/>
    <w:rsid w:val="006A195D"/>
    <w:rsid w:val="006F5FFB"/>
    <w:rsid w:val="00701185"/>
    <w:rsid w:val="00C91FAE"/>
    <w:rsid w:val="00D003B9"/>
    <w:rsid w:val="00E52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FF52EF-A2F6-42F5-9A54-11E729DD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Grotti</dc:creator>
  <cp:keywords/>
  <dc:description/>
  <cp:lastModifiedBy>Daniele Grotti</cp:lastModifiedBy>
  <cp:revision>3</cp:revision>
  <dcterms:created xsi:type="dcterms:W3CDTF">2026-02-06T11:47:00Z</dcterms:created>
  <dcterms:modified xsi:type="dcterms:W3CDTF">2026-02-06T11:47:00Z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2026-02-06T11:47:55Z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610de372-5ad4-43e8-a170-e1aaab8af83a</vt:lpwstr>
  </property>
  <property fmtid="{D5CDD505-2E9C-101B-9397-08002B2CF9AE}" pid="7" name="MSIP_Label_defa4170-0d19-0005-0004-bc88714345d2_ActionId">
    <vt:lpwstr>8d7a72cb-e09b-4a56-b56d-24e07e1dd8c3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