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5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ABRIDGED CURRICULUM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(DEC) 2021</w:t>
      </w:r>
    </w:p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You are welcome to the Abridged   English   Syllabus. The syllabus has been abridged to help you cover all the content as you prepare learners to join Primary Six.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The P5 class </w:t>
      </w:r>
      <w:r>
        <w:rPr>
          <w:rFonts w:ascii="Times New Roman" w:cs="Times New Roman" w:eastAsia="Times New Roman" w:hAnsi="Times New Roman"/>
          <w:sz w:val="24"/>
          <w:szCs w:val="24"/>
        </w:rPr>
        <w:t>for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this   year missed almost the Primary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Four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content due to the COVID</w:t>
      </w:r>
      <w:r>
        <w:rPr>
          <w:rFonts w:ascii="Times New Roman" w:cs="Times New Roman" w:eastAsia="Times New Roman" w:hAnsi="Times New Roman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19 pandemic.  </w:t>
      </w:r>
      <w:r>
        <w:rPr>
          <w:rFonts w:ascii="Times New Roman" w:cs="Times New Roman" w:eastAsia="Times New Roman" w:hAnsi="Times New Roman"/>
          <w:sz w:val="24"/>
          <w:szCs w:val="24"/>
        </w:rPr>
        <w:t>You should 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ndeavour to   cover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tenses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taught in Primary Four. That content   has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been merged with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that of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Primary Five Topic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1,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Vehicle Repair and Maintenance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,1A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Parts of a Vehicle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During the teaching/learning process,</w:t>
      </w:r>
      <w:r>
        <w:rPr>
          <w:rFonts w:ascii="Times New Roman" w:cs="Times New Roman" w:hAnsi="Times New Roman"/>
          <w:sz w:val="24"/>
          <w:szCs w:val="24"/>
        </w:rPr>
        <w:t xml:space="preserve"> you need to </w:t>
      </w:r>
      <w:r>
        <w:rPr>
          <w:rFonts w:ascii="Times New Roman" w:cs="Times New Roman" w:hAnsi="Times New Roman"/>
          <w:sz w:val="24"/>
          <w:szCs w:val="24"/>
        </w:rPr>
        <w:t>employ methods of teaching such as demonstration, discovery, role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play, group work and dramatization, among others. These methods will give learners adequate opportunity to practi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e the vocabulary and the structures they have learnt.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After effectively handling all the topics in Primary </w:t>
      </w:r>
      <w:r>
        <w:rPr>
          <w:rFonts w:ascii="Times New Roman" w:cs="Times New Roman" w:hAnsi="Times New Roman"/>
          <w:sz w:val="24"/>
          <w:szCs w:val="24"/>
        </w:rPr>
        <w:t>Five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you should </w:t>
      </w:r>
      <w:r>
        <w:rPr>
          <w:rFonts w:ascii="Times New Roman" w:cs="Times New Roman" w:hAnsi="Times New Roman"/>
          <w:sz w:val="24"/>
          <w:szCs w:val="24"/>
        </w:rPr>
        <w:t xml:space="preserve">guide your learners in revising what they were taught in the previous classes. This, however, does not mean </w:t>
      </w:r>
      <w:r>
        <w:rPr>
          <w:rFonts w:ascii="Times New Roman" w:cs="Times New Roman" w:hAnsi="Times New Roman"/>
          <w:sz w:val="24"/>
          <w:szCs w:val="24"/>
        </w:rPr>
        <w:t xml:space="preserve">that </w:t>
      </w:r>
      <w:r>
        <w:rPr>
          <w:rFonts w:ascii="Times New Roman" w:cs="Times New Roman" w:hAnsi="Times New Roman"/>
          <w:sz w:val="24"/>
          <w:szCs w:val="24"/>
        </w:rPr>
        <w:t xml:space="preserve">you have to give them </w:t>
      </w:r>
      <w:r>
        <w:rPr>
          <w:rFonts w:ascii="Times New Roman" w:cs="Times New Roman" w:hAnsi="Times New Roman"/>
          <w:sz w:val="24"/>
          <w:szCs w:val="24"/>
        </w:rPr>
        <w:t>a lot of</w:t>
      </w:r>
      <w:r>
        <w:rPr>
          <w:rFonts w:ascii="Times New Roman" w:cs="Times New Roman" w:hAnsi="Times New Roman"/>
          <w:sz w:val="24"/>
          <w:szCs w:val="24"/>
        </w:rPr>
        <w:t xml:space="preserve"> pen and paper examinations</w:t>
      </w:r>
      <w:r>
        <w:rPr>
          <w:rFonts w:ascii="Times New Roman" w:cs="Times New Roman" w:hAnsi="Times New Roman"/>
          <w:sz w:val="24"/>
          <w:szCs w:val="24"/>
        </w:rPr>
        <w:t xml:space="preserve"> but you need to d</w:t>
      </w:r>
      <w:r>
        <w:rPr>
          <w:rFonts w:ascii="Times New Roman" w:cs="Times New Roman" w:hAnsi="Times New Roman"/>
          <w:sz w:val="24"/>
          <w:szCs w:val="24"/>
        </w:rPr>
        <w:t xml:space="preserve">evise other strategies of revising the previous work with them.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>TERM 1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TOPIC 1: VEHICLE REPAIR AND MAINTENANCE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Overview: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This topic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will enable learners to develop knowledge of the crucial vehicle parts and identify tools required in vehicle repair and maintenance. Through this topic,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learner will also develop appropriate language related to vehicle repair and maintenance.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Previous P4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Grammar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content on tenses 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has been included to enable the learners to cover what they missed.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Before   you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teach  Vocabulary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, begin  by teaching  the tenses that are covered in Primary Four. The content is included under Grammar.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Sub-topic 1A: Parts of a Vehicle</w:t>
      </w:r>
    </w:p>
    <w:tbl>
      <w:tblPr>
        <w:tblStyle w:val="style4097"/>
        <w:tblW w:w="0" w:type="auto"/>
        <w:tblLook w:val="04A0" w:firstRow="1" w:lastRow="0" w:firstColumn="1" w:lastColumn="0" w:noHBand="0" w:noVBand="1"/>
      </w:tblPr>
      <w:tblGrid>
        <w:gridCol w:w="2547"/>
        <w:gridCol w:w="4111"/>
        <w:gridCol w:w="2692"/>
      </w:tblGrid>
      <w:tr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nswers oral and written questions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about vehicle repair and maintenance.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-narrates/signs stories on vehicle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epair and maintenance.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 reads/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signs texts on vehicle repair and maintenance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writes/signs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texts/stories related to vehicle repair and maintenance.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Vocabulary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engine, tyre, steering wheel, windscreen, driving mirror, boot, seatbelt, seats, wiper, headlamp, indicators, spokes, chain, mudguard, carrier, saddle, reflector, brakes, bell, peddle, handlebar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Language structures</w:t>
            </w:r>
          </w:p>
          <w:p>
            <w:pPr>
              <w:pStyle w:val="style179"/>
              <w:numPr>
                <w:ilvl w:val="0"/>
                <w:numId w:val="2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…must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You must repair your vehicle. </w:t>
            </w:r>
          </w:p>
          <w:p>
            <w:pPr>
              <w:pStyle w:val="style179"/>
              <w:numPr>
                <w:ilvl w:val="0"/>
                <w:numId w:val="2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…mustn’t drive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You mustn’t drive with flat tyres. </w:t>
            </w:r>
          </w:p>
          <w:p>
            <w:pPr>
              <w:pStyle w:val="style179"/>
              <w:numPr>
                <w:ilvl w:val="0"/>
                <w:numId w:val="2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has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Ogule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has bought new tyres for his car. </w:t>
            </w:r>
          </w:p>
          <w:p>
            <w:pPr>
              <w:pStyle w:val="style179"/>
              <w:numPr>
                <w:ilvl w:val="0"/>
                <w:numId w:val="2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have …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bad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children have broken the win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dscreen of Mr.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Kasozi’s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Grammar </w:t>
            </w:r>
          </w:p>
          <w:p>
            <w:pPr>
              <w:pStyle w:val="style0"/>
              <w:spacing w:lineRule="auto" w:line="241"/>
              <w:rPr>
                <w:rFonts w:ascii="Times New Roman" w:cs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szCs w:val="24"/>
                <w:lang w:val="en-US"/>
              </w:rPr>
              <w:t>Use of the Present Simple tense</w:t>
            </w:r>
          </w:p>
          <w:p>
            <w:pPr>
              <w:pStyle w:val="style0"/>
              <w:spacing w:lineRule="auto" w:line="241"/>
              <w:rPr>
                <w:rFonts w:ascii="Times New Roman" w:cs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szCs w:val="24"/>
                <w:lang w:val="en-US"/>
              </w:rPr>
              <w:t xml:space="preserve">Use of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szCs w:val="24"/>
                <w:lang w:val="en-US"/>
              </w:rPr>
              <w:t xml:space="preserve"> Present Continuous tense</w:t>
            </w:r>
          </w:p>
          <w:p>
            <w:pPr>
              <w:pStyle w:val="style0"/>
              <w:spacing w:lineRule="auto" w:line="241"/>
              <w:rPr>
                <w:rFonts w:ascii="Times New Roman" w:cs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Use of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  <w:lang w:val="en-US"/>
              </w:rPr>
              <w:t xml:space="preserve">shall and will when expressing the future.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Use of the Present Perfect tense. Use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“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has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”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“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have”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of “must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”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“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mustn’t”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(passages/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Reading/signing stories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Acting/signing 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compositions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Sub-topic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B: Equipment Used in Vehicle Repair</w:t>
      </w:r>
    </w:p>
    <w:tbl>
      <w:tblPr>
        <w:tblStyle w:val="style4097"/>
        <w:tblW w:w="9776" w:type="dxa"/>
        <w:tblLook w:val="04A0" w:firstRow="1" w:lastRow="0" w:firstColumn="1" w:lastColumn="0" w:noHBand="0" w:noVBand="1"/>
      </w:tblPr>
      <w:tblGrid>
        <w:gridCol w:w="2689"/>
        <w:gridCol w:w="4394"/>
        <w:gridCol w:w="2693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 narrates/signs stories related to equipment used in vehicle repair.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 reads/ signs texts on equipment used in vehicle repair.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rewrites/signs texts/stories related equipment used in vehicle repair.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uses appropriate language related to vehicle repair and maintenance.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Vocabulary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tool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box, pliers, spanner, screw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driver, hammer, file, car jack, saw, grease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oil, sand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paper, tester, wire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Structures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If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If I want to remove a tyre, I will use a car jack.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if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 will buy a spanner tomorrow if I go to town.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in order to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Kirya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used a pair of pl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iers in order to cut the wire.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Grammar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Conditionals (I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4"/>
                <w:szCs w:val="24"/>
              </w:rPr>
              <w:t>f)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(passages/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asking and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Reading texts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Asking and 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Acting 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Composing poems/chants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compositions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TOPIC 2: PRINT MEDIA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Overview: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This topic is intended to provide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learner with adequate language to deal with all forms of print media. It will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also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equip them with adequate knowledge and skills to read newspapers, magazines, pamphlets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and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brochures. </w:t>
      </w:r>
    </w:p>
    <w:tbl>
      <w:tblPr>
        <w:tblStyle w:val="style4097"/>
        <w:tblW w:w="9776" w:type="dxa"/>
        <w:tblLook w:val="04A0" w:firstRow="1" w:lastRow="0" w:firstColumn="1" w:lastColumn="0" w:noHBand="0" w:noVBand="1"/>
      </w:tblPr>
      <w:tblGrid>
        <w:gridCol w:w="2383"/>
        <w:gridCol w:w="4737"/>
        <w:gridCol w:w="2656"/>
      </w:tblGrid>
      <w:tr>
        <w:trPr/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reports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stories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from 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rint media.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reads/ signs texts related to print media.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-writes/signs texts/stories on Print media.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writes articles in the print media.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Vocabulary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cartoon, puzzle, story, news, announcement,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newspaper,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advertisement, magazine, back page, front page, reporter, article, editorial, columnist, editor, journalist, column, crossword, media, brochure, pull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out, newsletter.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Structures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 … which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article which appeared in the newspaper last week was sad.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journalist wrote an interesting story about elections.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Mpungu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 good columnist.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will …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advertisement on games and sports will be in the newspapers next week.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Grammar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Use of articles: </w:t>
            </w: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Relative pronouns.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(passages/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Reading/signing stories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Composing </w:t>
      </w:r>
      <w:r>
        <w:rPr>
          <w:rFonts w:ascii="Times New Roman" w:cs="Times New Roman" w:eastAsia="Times New Roman" w:hAnsi="Times New Roman"/>
          <w:sz w:val="24"/>
          <w:szCs w:val="24"/>
        </w:rPr>
        <w:t>and publishing articles and cartoons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compositions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TOPIC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TRAVELLING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Overview: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This topic is intended to make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learner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to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use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the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language related to travelling. It will consolidate the knowledge acquired in P.4 under the topic “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Giving Directions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”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and the l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earners will develop vocabulary, structures and skills related to travelling. </w:t>
      </w:r>
    </w:p>
    <w:tbl>
      <w:tblPr>
        <w:tblStyle w:val="style4097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685"/>
      </w:tblGrid>
      <w:tr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narrates/signs stories 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traveling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reads/signs texts 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traveling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describes different means of travel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using the given vocabulary.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Vocabulary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further, about, fare, conductor, ticket, seat, cycle, speed, fast, reduce, arrive, reach, leave, by, departure, destination, luggage, passenger, travel, taxi, coach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Structures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often …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 often travel to town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by bus.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Grammar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Adverbs.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(passages/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Reading/signing stories.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Asking and 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Acting/signing 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compositions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>TERM 2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Topic 4: Letter Writing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Overview: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This topic will enable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learner to develop knowledge and skills of writing personal/ informal letters. It builds on what was handled in the previous topic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Print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Media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i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t lays a foundation for formal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letter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writing which is to be handled in P.7.</w:t>
      </w:r>
    </w:p>
    <w:tbl>
      <w:tblPr>
        <w:tblStyle w:val="style4097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2834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written questions.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reads/ signs texts on letter writing.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dentifies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components of a personal letter using the given vocabulary.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rites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personal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letters using the acceptable grammar rule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Vocabulary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invite, letter, envelope, card, address, occasion, party, guest, host, hostess, ceremony, affectionate, sincerely, yours, dear, receiver, writer, friend, reply,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classmates, informal letter, personal letter, f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irst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body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sender,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date,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affecti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onately, sincerely, relatives, friends,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informal introduction,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purpose, reason,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inform, ask, thank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Language Structures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Hello …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llo, my friend.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would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He would come to our party if we invited him.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Would...?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Would you write a letter to your mother if she was sick?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could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Maria could write a letter inviting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Maggy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a birthday party.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Could …?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Could he reply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that letter immediately?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Grammar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Interjections.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Punctuation.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Personal pronouns.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(passages/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asking/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Asking/ 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Acting 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Composing poems/chants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Writing </w:t>
      </w:r>
      <w:r>
        <w:rPr>
          <w:rFonts w:ascii="Times New Roman" w:cs="Times New Roman" w:eastAsia="Times New Roman" w:hAnsi="Times New Roman"/>
          <w:sz w:val="24"/>
          <w:szCs w:val="24"/>
        </w:rPr>
        <w:t>and publishing personal letters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TOPIC 5: COMMUNICATION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Overview: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This will enable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learner to develop the knowledge and skills of giving and receiving information in order to enable them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to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interact with others freely.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also consolidates knowledge and skills a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cquired in the previous topics.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Sub-topic 5A: The Post Office</w:t>
      </w:r>
    </w:p>
    <w:tbl>
      <w:tblPr>
        <w:tblStyle w:val="style4097"/>
        <w:tblW w:w="0" w:type="auto"/>
        <w:tblLook w:val="04A0" w:firstRow="1" w:lastRow="0" w:firstColumn="1" w:lastColumn="0" w:noHBand="0" w:noVBand="1"/>
      </w:tblPr>
      <w:tblGrid>
        <w:gridCol w:w="2830"/>
        <w:gridCol w:w="3362"/>
        <w:gridCol w:w="3158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learning activities </w:t>
            </w:r>
          </w:p>
        </w:tc>
      </w:tr>
      <w:tr>
        <w:tblPrEx/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 narrates/signs stories related to the Post office.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reads/signs texts on the Post 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ffice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rites sentences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related to the post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office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future tense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Vocabulary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stamp, letterbox, directory, package,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moneyorder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privatebox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parcel, telegram, ma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il, aerogram,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postoffice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boxrental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letter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slot, registered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letter.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Structures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either … or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Sarah will either send a letter or send a telegram.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might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She might receive her parcel this evening.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unless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Your letter will not be posted unless you fix a postage stamp.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Unless ….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Unless you pay for your box rental, it will be closed.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Grammar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Conjunctions.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(passages/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re-writing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Asking and 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Acting/signing 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Reciting/singing poems/songs/chants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compositions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Sub-topic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B: The Telephone.</w:t>
      </w:r>
    </w:p>
    <w:tbl>
      <w:tblPr>
        <w:tblStyle w:val="style4097"/>
        <w:tblW w:w="0" w:type="auto"/>
        <w:tblLook w:val="04A0" w:firstRow="1" w:lastRow="0" w:firstColumn="1" w:lastColumn="0" w:noHBand="0" w:noVBand="1"/>
      </w:tblPr>
      <w:tblGrid>
        <w:gridCol w:w="2650"/>
        <w:gridCol w:w="4270"/>
        <w:gridCol w:w="2656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 narrates/signs stories relat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ed to the telephone.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reads/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signs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texts related to the telephone.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rewrites/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brailles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texts /stories related the telephone..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demonstrates ability to communicate using a telephone.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Vocabulary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telephone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mobile telephone,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face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airtime, landline, fixed line, receive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r, handset, network mast,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telephone direct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ory, dial, airtime,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call, subscriber’s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identification module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card, load.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Structures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… enough … 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….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She did not have enough airtime to make a call.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… need to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You need to fix a landline at home.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… needn’t …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You needn’t own two telephones.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(passages/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Acting 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Composing poems/chants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compositions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Sub-topic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C: The Internet</w:t>
      </w:r>
    </w:p>
    <w:tbl>
      <w:tblPr>
        <w:tblStyle w:val="style4097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97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narrates/signs stories related 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 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nternet.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reads/ signs texts related 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rnet.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-writes/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brailles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texts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/stories related to internet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demonstrates ability to communicate using the internet.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Vocabulary </w:t>
            </w:r>
          </w:p>
          <w:p>
            <w:pPr>
              <w:pStyle w:val="style0"/>
              <w:tabs>
                <w:tab w:val="left" w:leader="none" w:pos="1260"/>
              </w:tabs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e-mail, website, delete, save, open, scroll, folder, surfing, computer, internet café, service fee, virus,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google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yahoo, search, page, access, sign in, sign out, log, internet explorer, search engine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Structures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too … to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Internet café was too congested to sit in.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in order to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 opened the 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ebsite in order to access my e-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mail. </w:t>
            </w:r>
          </w:p>
          <w:p>
            <w:pPr>
              <w:pStyle w:val="style179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… so as …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He logged onto yahoo so as to surf news.</w:t>
            </w:r>
          </w:p>
          <w:p>
            <w:pPr>
              <w:pStyle w:val="style0"/>
              <w:tabs>
                <w:tab w:val="left" w:leader="none" w:pos="1260"/>
              </w:tabs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Grammar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Interrogative pronoun (who, what, which).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(passages/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Reading/signing stories.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Acting/signing 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Reciting/si</w:t>
      </w:r>
      <w:r>
        <w:rPr>
          <w:rFonts w:ascii="Times New Roman" w:cs="Times New Roman" w:eastAsia="Times New Roman" w:hAnsi="Times New Roman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z w:val="24"/>
          <w:szCs w:val="24"/>
        </w:rPr>
        <w:t>ing poems/songs/chants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compositions</w:t>
      </w:r>
    </w:p>
    <w:p>
      <w:pPr>
        <w:pStyle w:val="style0"/>
        <w:spacing w:after="0" w:lineRule="auto" w:line="276"/>
        <w:ind w:left="360"/>
        <w:jc w:val="both"/>
        <w:contextualSpacing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>TERM 3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TOPIC 6: CULTURE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Overview: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This topic will build on what was covered in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P. 3 (Theme 9: Culture and Gender in Our Sub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county)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. It will provide learners with an opportunity to learn and appreciate other people’s cultures. It will also enable learners to develop vocabulary and structures related to culture. 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Sub-topic 6A: Nationality</w:t>
      </w:r>
    </w:p>
    <w:tbl>
      <w:tblPr>
        <w:tblStyle w:val="style4097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976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• na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rrates/signs stories related to nationality.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reads/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signs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texts related to nationality.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•writes/signs texts/stories related to nationality.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identifies the various nationalities in the world.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Vocabulary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Ugandan, Tanzanian, Kenyan, Rwandan, Sudanese, German, French, English, Scottish, American, Brazilian, Chinese, Indian, Japanese.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Structures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I am a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 am a Chinese.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… not a … but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He is not a Ugandan but a Kenyan.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Egyptians come from Egypt.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……. come from…….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Egyptians come from Egypt.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Grammar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Adjectives.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Prepositions.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(passages/ dialogues/poems/notices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Acting 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Composing poems/chants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compositions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TOPIC 6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CULTURE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Sub-topic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6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B: Languages</w:t>
      </w:r>
    </w:p>
    <w:tbl>
      <w:tblPr>
        <w:tblStyle w:val="style4097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2834"/>
      </w:tblGrid>
      <w:tr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 narrates/signs stories related to language.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reads/ signs texts related to languages.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-writes/signs texts/stories related to language.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ses nouns, the passive voice and conditionals (if)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talk about various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languages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Vocabulary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Luganda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Lumasaba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Runyankitura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Luo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Iteso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Kiswahili, French, English, German, Latin, Chinese, Ibo,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Lingala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Kinyanwanda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Structures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Sentence transformation </w:t>
            </w:r>
          </w:p>
          <w:p>
            <w:pPr>
              <w:pStyle w:val="style0"/>
              <w:tabs>
                <w:tab w:val="left" w:leader="none" w:pos="1260"/>
              </w:tabs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People in England speak English.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English is spoken in England.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If … would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If I were a Nigerian, I would be rich.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… would … if….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Muyobo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would speak Spanish if she was from Spain.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… as …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Kinyarwanda is for Rwandese as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Lingala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for Congolese.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Grammar </w:t>
            </w:r>
          </w:p>
          <w:p>
            <w:pPr>
              <w:pStyle w:val="style0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Nouns. </w:t>
            </w:r>
          </w:p>
          <w:p>
            <w:pPr>
              <w:pStyle w:val="style0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Passive Voice.</w:t>
            </w:r>
          </w:p>
          <w:p>
            <w:pPr>
              <w:pStyle w:val="style0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Conditionals (If 2).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Acting 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Composing poems/chants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compositions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TOPIC 7: PEACE AND SECURITY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Overview: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This topic will enable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learners to develop vocabulary related to Peace and Security. It will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also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enable them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to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acquire appropriate language necessary for harmonious living.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tbl>
      <w:tblPr>
        <w:tblStyle w:val="style4097"/>
        <w:tblW w:w="0" w:type="auto"/>
        <w:tblLook w:val="04A0" w:firstRow="1" w:lastRow="0" w:firstColumn="1" w:lastColumn="0" w:noHBand="0" w:noVBand="1"/>
      </w:tblPr>
      <w:tblGrid>
        <w:gridCol w:w="2972"/>
        <w:gridCol w:w="3544"/>
        <w:gridCol w:w="2834"/>
      </w:tblGrid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narrates/signs stories related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to Peace and Security.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reads/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signs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texts related to Peace and Security 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 rewrites/signs texts/stories related to Peace and Security.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es appropriate language related to peace and security.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Vocabulary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peace, security, judge, magistrate, report, statement, offense, offend, handcuffs, crime, cell, arrest, court, police station, police post, army, barracks, case, court, witness,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defence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gun, arrows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Structures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… so … that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village has so many thieves that there is no peace.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… about …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witnesses have given their statements about the case.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Grammar 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Present Perfect tense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eading texts (passages/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Reading/signing stories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Acting/signing 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Composing </w:t>
      </w:r>
      <w:r>
        <w:rPr>
          <w:rFonts w:ascii="Times New Roman" w:cs="Times New Roman" w:eastAsia="Times New Roman" w:hAnsi="Times New Roman"/>
          <w:sz w:val="24"/>
          <w:szCs w:val="24"/>
        </w:rPr>
        <w:t>poems/songs/chants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Completing stories/dialogues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compositions</w:t>
      </w:r>
    </w:p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TOPIC 8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SERVICES (BANKING)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Overview: </w:t>
      </w:r>
    </w:p>
    <w:p>
      <w:pPr>
        <w:pStyle w:val="style0"/>
        <w:tabs>
          <w:tab w:val="left" w:leader="none" w:pos="1260"/>
        </w:tabs>
        <w:spacing w:after="0" w:lineRule="auto" w:line="276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This topic will buil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on what was covered in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P.3.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(Theme 7 under Managing Resources)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It will enable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learner to develop the basic language and skills related to banking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for use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in real life situations. </w:t>
      </w:r>
    </w:p>
    <w:tbl>
      <w:tblPr>
        <w:tblStyle w:val="style4097"/>
        <w:tblW w:w="9634" w:type="dxa"/>
        <w:tblLook w:val="04A0" w:firstRow="1" w:lastRow="0" w:firstColumn="1" w:lastColumn="0" w:noHBand="0" w:noVBand="1"/>
      </w:tblPr>
      <w:tblGrid>
        <w:gridCol w:w="2134"/>
        <w:gridCol w:w="4844"/>
        <w:gridCol w:w="2656"/>
      </w:tblGrid>
      <w:tr>
        <w:trPr/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FitText w:val="false"/>
            <w:hideMark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Suggested teaching and learning activities </w:t>
            </w:r>
          </w:p>
        </w:tc>
      </w:tr>
      <w:tr>
        <w:tblPrEx/>
        <w:trPr/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 narrates/signs stories related to banking.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>- reads/ signs texts related to banking.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demonstrates ability to use appropriate language related to banking situations.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Vocabulary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bank, bank manager,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account,passbook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bankbook, teller deposit, withdraw, credit, save, safe, balance, bank statement, bounce, cheque, forge, cashier, withdraw, form, deposit form, ATM card, machine, cheque book, savings, account, money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Structures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Neither … nor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Neither is he a manager nor a cashier at that bank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… neither … nor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Wafula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will neither withdraw nor deposit any money today.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… as soon as …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cashier gave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Akello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money as soon as she presented the withdraw form.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As soon as …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As soon as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Apio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gave in the account number, the bank manager told him his balance.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guiding learners to pronounce/sign words.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constructing sentences using the given structure and vocabulary.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reading texts (passages/ dialogues/poems/notices)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reciting /signing poems.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acting dialogues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answering questions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Playing spelling games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completing sentences.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writing compositions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rewriting stories.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Suggested Activities for 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ssessment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Constructing both oral and written sentences using the learnt vocabulary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structures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Asking and answering comprehension questions.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Composing </w:t>
      </w:r>
      <w:r>
        <w:rPr>
          <w:rFonts w:ascii="Times New Roman" w:cs="Times New Roman" w:eastAsia="Times New Roman" w:hAnsi="Times New Roman"/>
          <w:sz w:val="24"/>
          <w:szCs w:val="24"/>
        </w:rPr>
        <w:t>poems/songs/chant</w:t>
      </w:r>
      <w:r>
        <w:rPr>
          <w:rFonts w:ascii="Times New Roman" w:cs="Times New Roman" w:eastAsia="Times New Roman" w:hAnsi="Times New Roman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76"/>
        <w:jc w:val="both"/>
        <w:contextualSpacing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Writing guided and free compositi</w:t>
      </w:r>
      <w:r>
        <w:rPr>
          <w:rFonts w:ascii="Times New Roman" w:cs="Times New Roman" w:eastAsia="Times New Roman" w:hAnsi="Times New Roman"/>
          <w:sz w:val="24"/>
          <w:szCs w:val="24"/>
        </w:rPr>
        <w:t>on.</w:t>
      </w:r>
    </w:p>
    <w:p>
      <w:pPr>
        <w:pStyle w:val="style0"/>
        <w:rPr/>
      </w:pPr>
    </w:p>
    <w:sectPr>
      <w:footerReference w:type="default" r:id="rId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06F" w:usb1="1200FBEF" w:usb2="0004C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B345AF4"/>
    <w:lvl w:ilvl="0" w:tplc="DE980ADE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B4A318A"/>
    <w:lvl w:ilvl="0" w:tplc="0C383244">
      <w:start w:val="1"/>
      <w:numFmt w:val="bullet"/>
      <w:lvlText w:val="•"/>
      <w:lvlJc w:val="left"/>
      <w:pPr>
        <w:ind w:left="468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8EB524">
      <w:start w:val="1"/>
      <w:numFmt w:val="bullet"/>
      <w:lvlText w:val="o"/>
      <w:lvlJc w:val="left"/>
      <w:pPr>
        <w:ind w:left="1193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0373A">
      <w:start w:val="1"/>
      <w:numFmt w:val="bullet"/>
      <w:lvlText w:val="▪"/>
      <w:lvlJc w:val="left"/>
      <w:pPr>
        <w:ind w:left="1913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BE56AC">
      <w:start w:val="1"/>
      <w:numFmt w:val="bullet"/>
      <w:lvlText w:val="•"/>
      <w:lvlJc w:val="left"/>
      <w:pPr>
        <w:ind w:left="2633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E2C60C">
      <w:start w:val="1"/>
      <w:numFmt w:val="bullet"/>
      <w:lvlText w:val="o"/>
      <w:lvlJc w:val="left"/>
      <w:pPr>
        <w:ind w:left="3353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282420">
      <w:start w:val="1"/>
      <w:numFmt w:val="bullet"/>
      <w:lvlText w:val="▪"/>
      <w:lvlJc w:val="left"/>
      <w:pPr>
        <w:ind w:left="4073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9A5218">
      <w:start w:val="1"/>
      <w:numFmt w:val="bullet"/>
      <w:lvlText w:val="•"/>
      <w:lvlJc w:val="left"/>
      <w:pPr>
        <w:ind w:left="4793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4E0428">
      <w:start w:val="1"/>
      <w:numFmt w:val="bullet"/>
      <w:lvlText w:val="o"/>
      <w:lvlJc w:val="left"/>
      <w:pPr>
        <w:ind w:left="5513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06659E">
      <w:start w:val="1"/>
      <w:numFmt w:val="bullet"/>
      <w:lvlText w:val="▪"/>
      <w:lvlJc w:val="left"/>
      <w:pPr>
        <w:ind w:left="6233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5F523B56"/>
    <w:lvl w:ilvl="0" w:tplc="DE96A806">
      <w:start w:val="1"/>
      <w:numFmt w:val="bullet"/>
      <w:lvlText w:val="-"/>
      <w:lvlJc w:val="left"/>
      <w:pPr>
        <w:ind w:left="360" w:hanging="360"/>
      </w:pPr>
      <w:rPr>
        <w:rFonts w:ascii="Calibri" w:cs="Calibri" w:hAnsi="Calibri" w:hint="default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C42B97C"/>
    <w:lvl w:ilvl="0" w:tplc="00FAD1EA">
      <w:start w:val="5"/>
      <w:numFmt w:val="bullet"/>
      <w:lvlText w:val="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eastAsia="Times New Roman"/>
    </w:rPr>
  </w:style>
  <w:style w:type="table" w:customStyle="1" w:styleId="style4097">
    <w:name w:val="Table Grid1"/>
    <w:basedOn w:val="style105"/>
    <w:next w:val="style4097"/>
    <w:uiPriority w:val="59"/>
    <w:pPr>
      <w:spacing w:after="0" w:lineRule="auto" w:line="240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ad147cfa-684f-44d4-bf46-9e8c3af4c346"/>
    <w:basedOn w:val="style65"/>
    <w:next w:val="style4098"/>
    <w:link w:val="style31"/>
    <w:uiPriority w:val="99"/>
    <w:rPr>
      <w:lang w:val="en-GB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6b0ccf37-8f41-49db-838a-b552c273c7e0"/>
    <w:basedOn w:val="style65"/>
    <w:next w:val="style4099"/>
    <w:link w:val="style32"/>
    <w:uiPriority w:val="99"/>
    <w:rPr>
      <w:lang w:val="en-GB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Segoe UI" w:cs="Segoe UI" w:hAnsi="Segoe UI"/>
      <w:sz w:val="18"/>
      <w:szCs w:val="18"/>
      <w:lang w:val="en-GB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2844</Words>
  <Characters>17111</Characters>
  <Application>WPS Office</Application>
  <DocSecurity>0</DocSecurity>
  <Paragraphs>576</Paragraphs>
  <ScaleCrop>false</ScaleCrop>
  <LinksUpToDate>false</LinksUpToDate>
  <CharactersWithSpaces>19775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2022-01-02T14:13:44Z</dcterms:created>
  <dc:creator>UNEB</dc:creator>
  <lastModifiedBy>TECNO-C9</lastModifiedBy>
  <dcterms:modified xsi:type="dcterms:W3CDTF">2022-01-02T14:13:44Z</dcterms:modified>
  <revision>2</revision>
</coreProperties>
</file>