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SECTION A</w:t>
      </w:r>
    </w:p>
    <w:p>
      <w:pPr>
        <w:pStyle w:val="style0"/>
        <w:rPr/>
      </w:pPr>
      <w:r>
        <w:t>1.</w:t>
      </w:r>
      <w:r>
        <w:cr/>
      </w:r>
      <w:r>
        <w:t>Read the following passage carefully and answer the question that follows.</w:t>
      </w:r>
    </w:p>
    <w:p>
      <w:pPr>
        <w:pStyle w:val="style0"/>
        <w:rPr/>
      </w:pPr>
      <w:r>
        <w:t xml:space="preserve">Many studies have shown that it is best for children to have both parents in their lives. Even if a step parent is not abusive, it will still be difficult for a child to form the kinds of bonds or relationships they have with their birth parents. If you are planning to get a divorce, it is important to do everything you can to make sure that your children have some kind of emotional support beyond you and your ex-husband or wife whether it is seeing a psychologist or just looking for social interactions that will not be affected by the divorce. </w:t>
      </w:r>
      <w:r>
        <w:cr/>
      </w:r>
      <w:r>
        <w:t xml:space="preserve">One of the hardest parts of divorce for children is trying to maintain a stable life while living between two homes. Regardless of how hard you and your former spouse may try, it may prove impossible to share custody or the care of the child that provides a consistent routine for your child. Unfortunately, it is not easy to lessen the impact of constantly having to travel from one home to another. Open communication with your child is the best way to ensure that his or her needs are met as much as possible. </w:t>
      </w:r>
    </w:p>
    <w:p>
      <w:pPr>
        <w:pStyle w:val="style0"/>
        <w:rPr/>
      </w:pPr>
      <w:r>
        <w:t xml:space="preserve">Even though many children today come from broken homes, there is still an enormous social burden placed on the child. Among other things, if a child has to go from one parent's house to another on the weekends, they miss out on vital socializing opportunities with their school friends. You will also find that the constant disruption over the holidays will also take a toll on normal social development. </w:t>
      </w:r>
      <w:r>
        <w:cr/>
      </w:r>
    </w:p>
    <w:p>
      <w:pPr>
        <w:pStyle w:val="style0"/>
        <w:rPr/>
      </w:pPr>
      <w:r>
        <w:t xml:space="preserve">When it comes to custody decisions, many couples choose one parent for weekdays and the other for weekends and holidays. Aside from being confusing, there are a number of consequences to this kind of arrangement. If you find that your children do not have as many friends at school, or that they are often frustrated with social situations, it may be a good indicator that the custody arrangements are contributing to the problem. Rather than simply ignore the fact that your child's social life is being disrupted by divorce, it is important to face this fact and take steps to amend the situation. </w:t>
      </w:r>
      <w:r>
        <w:cr/>
      </w:r>
      <w:r>
        <w:t xml:space="preserve">Adapted from: Sunday Monitor, May 10, 2009. </w:t>
      </w:r>
      <w:r>
        <w:cr/>
      </w:r>
    </w:p>
    <w:p>
      <w:pPr>
        <w:pStyle w:val="style0"/>
        <w:rPr/>
      </w:pPr>
      <w:r>
        <w:t xml:space="preserve">In not more than 120 words, summarize the passage, bringing out the effects of divorce to children. </w:t>
      </w:r>
    </w:p>
    <w:p>
      <w:pPr>
        <w:pStyle w:val="style0"/>
        <w:rPr>
          <w:b/>
          <w:bCs/>
        </w:rPr>
      </w:pPr>
      <w:r>
        <w:rPr>
          <w:b/>
          <w:bCs/>
          <w:lang w:val="en-US"/>
        </w:rPr>
        <w:t>Rough coppy</w:t>
      </w:r>
    </w:p>
    <w:p>
      <w:pPr>
        <w:pStyle w:val="style0"/>
        <w:spacing w:after="200" w:lineRule="auto" w:line="276"/>
        <w:jc w:val="left"/>
        <w:rPr/>
      </w:pPr>
      <w:r>
        <w:rPr>
          <w:lang w:val="en-US"/>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b/>
          <w:bC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bCs/>
          <w:i w:val="false"/>
          <w:iCs w:val="false"/>
          <w:color w:val="auto"/>
          <w:sz w:val="22"/>
          <w:szCs w:val="22"/>
          <w:highlight w:val="none"/>
          <w:vertAlign w:val="baseline"/>
          <w:em w:val="none"/>
          <w:lang w:val="en-US" w:eastAsia="zh-CN"/>
        </w:rPr>
        <w:t>.................................................................................................................................</w:t>
      </w:r>
    </w:p>
    <w:p>
      <w:pPr>
        <w:pStyle w:val="style0"/>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Fair copy</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Read the passage below and answer the questions that follow: </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The Burdens of Girlhood </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The Burdens of Girlhood puts forward an agenda for a joyful childhood for girls all over the world. It is a call for fairness and gender balance early in life, rather than in womanhood, so that girls grow up knowing that they are equal to their male counterparts. The author first challenges parents, who are responsible for the early socialisation of children to look at and change those cultures that confine girls to a negative self-image, while flattering and reinforcing the self-worth and status of boys. </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The author singles out preference, which is prevalent in her native India and also much of Africa as one of the major reasons that female babies are seen as second best. Take for example, the parent who brings home a book, a pen or a pair of shoes for the son but nothing for the daughter. It creates a feeling in the boy that he is better, more deserving than the girl who feels rejected, unworthy and non-existent. These are burdens that she will carry through into womanhood.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The preference for boys prevails particularly in education where, when faced with a choice, parents would rather send .their boy children to school for they are seen as future providers, whereas girls are seen as dependants inspite of the fact that women contribute as much, or more than men to both domestic and national economies today. In terms of nutrition, some cultures deny girls certain kinds of foods. Typically, these are nutritious and tasty foods like eggs and certain parts of chicken. Other practices that are identified as lowering the status of girls in society include early marriages which deny girls the chance, indeed the right to experience independent adulthood before becoming parents themselves. In many cultures, girls are married off at a young age so that they can easily adapt themselves to the ways of their husbands and their families.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Beyond the family level, Sohoni reminds policy makers that it is their duty to put in place policies that will advance the status of the girl in education, health, nutrition and culture, so that later in life, girls can be on an equal footing with their male counterparts in family life and employment opportunities. In the author's words, "the status of girls can only be raised with calculated, concerted. courageous and sustained actions of parents, cultures, religious, nations and multi-national bodies and this will make a difference in the present and future of girlhood globally”. She recommends simple and practical ways of raising the status of girls in society, among them; the formulation of specific policies and legal instruments to reduce gender disparities and eliminate the bases of discrimination among children. </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(Source: The Burdens of Girlhood by Neera Kuckreja Sohoni [pg 243] The East African: April 5-l l, 1999]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Answer questions 2.1 to 2.5 on the question paper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2.1 Basing your answer on the passage, explain in one sentence what is meant by gender balance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2.2 These are burdens that she will carry through into womanhood. Explain what this statement is referring to, in not more than two sentences.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2.3 Mention two practices which tend to lower the status of women according to the passage.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2.4 Mention at least three things that government should do to uplift the status women.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2.5 Sokoni clearly proposes a stage in life at which the struggle for elimination gender disparities should start. Which one is it?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SECTION B</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Rewrite the following sentences as instructed without changing the meaning of the original sentences</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3.1 I must help my parents on the form. They have to prepare my tuition for further education. (Join using "in order to")</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3.2 Girls should enroll for science courses. Gender stereotyping has to be stamped out. (Join using "so as to")</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3.3 Female learners need to be encouraged that they, too, can take computer graphics. Their number should be increased.( Begin: The number of...so as to...)</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p>
    <w:p>
      <w:pPr>
        <w:pStyle w:val="style0"/>
        <w:spacing w:after="200" w:lineRule="auto" w:line="276"/>
        <w:jc w:val="left"/>
        <w:rPr/>
      </w:pPr>
      <w:r>
        <w:rPr>
          <w:lang w:val="en-US"/>
        </w:rPr>
        <w:t>3.4 “Where will they go for their holiday next month?” (Begin: He wanted to know ....)</w:t>
      </w:r>
      <w:r>
        <w:rPr>
          <w:lang w:val="en-US"/>
        </w:rPr>
        <w:cr/>
      </w:r>
      <w:r>
        <w:rPr>
          <w:lang w:val="en-US"/>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p>
    <w:p>
      <w:pPr>
        <w:pStyle w:val="style0"/>
        <w:spacing w:after="200" w:lineRule="auto" w:line="276"/>
        <w:jc w:val="left"/>
        <w:rPr/>
      </w:pPr>
      <w:r>
        <w:rPr>
          <w:lang w:val="en-US"/>
        </w:rPr>
        <w:t xml:space="preserve">3.5 They didn’t follow the directions on the map, so they got lost (Begin: If ….) </w:t>
      </w:r>
      <w:r>
        <w:rPr>
          <w:lang w:val="en-US"/>
        </w:rPr>
        <w:cr/>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Fill in the blank space below with the most appropriate word or preposition</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3.6 Death occurred........................my grandfather.</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3.7 what is the time......................... Your watch.</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3.8 My mother does not approve ................ young girls walking at night.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3.9 The staffroom is out of bound .................... students.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3.10 My family jogs together every weekend to rejuvenate.......................(Ourselves, myself, itself , themselves)</w:t>
      </w:r>
    </w:p>
    <w:p>
      <w:pPr>
        <w:pStyle w:val="style0"/>
        <w:spacing w:after="200" w:lineRule="auto" w:line="276"/>
        <w:jc w:val="left"/>
        <w:rPr>
          <w:b/>
          <w:bCs/>
        </w:rPr>
      </w:pPr>
      <w:r>
        <w:rPr>
          <w:b/>
          <w:bCs/>
          <w:lang w:val="en-US"/>
        </w:rPr>
        <w:t>SECTION C</w:t>
      </w:r>
    </w:p>
    <w:p>
      <w:pPr>
        <w:pStyle w:val="style0"/>
        <w:spacing w:after="200" w:lineRule="auto" w:line="276"/>
        <w:jc w:val="left"/>
        <w:rPr>
          <w:b w:val="false"/>
          <w:bCs w:val="false"/>
        </w:rPr>
      </w:pPr>
      <w:r>
        <w:rPr>
          <w:b w:val="false"/>
          <w:bCs w:val="false"/>
          <w:lang w:val="en-US"/>
        </w:rPr>
        <w:t>4. Assume you have just returned home from school for holidays, and there is a lot you would wish to share with your friend from another school about what transpired on your side. Write a letter to him/her, telling them your academic progress, fortunes and challenges that you encountered in the due course of the term while at school.</w:t>
      </w:r>
    </w:p>
    <w:p>
      <w:pPr>
        <w:pStyle w:val="style0"/>
        <w:spacing w:after="200" w:lineRule="auto" w:line="276"/>
        <w:jc w:val="left"/>
        <w:rPr>
          <w:b/>
          <w:bCs/>
        </w:rPr>
      </w:pPr>
      <w:r>
        <w:rPr>
          <w:b/>
          <w:bCs/>
          <w:lang w:val="en-US"/>
        </w:rPr>
        <w:t>SECTION D</w:t>
      </w:r>
    </w:p>
    <w:p>
      <w:pPr>
        <w:pStyle w:val="style0"/>
        <w:spacing w:after="200" w:lineRule="auto" w:line="276"/>
        <w:jc w:val="left"/>
        <w:rPr/>
      </w:pPr>
      <w:r>
        <w:rPr>
          <w:lang w:val="en-US"/>
        </w:rPr>
        <w:t>5. It is true that if you go through an happy childhood, you become nostalgia, while, if you go through a sad childhood, you become resentful. Although childhood memories is one of the most indelible time for us to forget whether it was a good or a bad one. Narrate or describe the most indelible incident during your childhood in 300-500 words.</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bb9e7078-00bd-4f8f-a0f0-4c471e32ef60"/>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1343</Words>
  <Characters>14980</Characters>
  <Application>WPS Office</Application>
  <Paragraphs>97</Paragraphs>
  <CharactersWithSpaces>16247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2023-11-04T13:39:39Z</dcterms:created>
  <dc:creator>TECNO KI5k</dc:creator>
  <lastModifiedBy>TECNO KI5k</lastModifiedBy>
  <dcterms:modified xsi:type="dcterms:W3CDTF">2023-11-04T13:39:39Z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48afe7812d944a3c8daf28eb62ca92c6</vt:lpwstr>
  </property>
</Properties>
</file>