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  <w:jc w:val="center"/>
      </w:pPr>
      <w:r>
        <w:rPr>
          <w:rFonts w:ascii="Calibri" w:cs="Calibri" w:eastAsia="Calibri" w:hAnsi="Calibri"/>
          <w:b/>
          <w:bCs/>
          <w:color w:val="1A2B4A"/>
          <w:sz w:val="52"/>
          <w:szCs w:val="52"/>
        </w:rPr>
        <w:t xml:space="preserve">PORNPON THANSUVANTHANAN</w:t>
      </w:r>
    </w:p>
    <w:p>
      <w:pPr>
        <w:spacing w:after="10" w:before="0"/>
        <w:jc w:val="center"/>
      </w:pPr>
      <w:r>
        <w:rPr>
          <w:rFonts w:ascii="Calibri" w:cs="Calibri" w:eastAsia="Calibri" w:hAnsi="Calibri"/>
          <w:i/>
          <w:iCs/>
          <w:color w:val="B8933A"/>
          <w:sz w:val="22"/>
          <w:szCs w:val="22"/>
        </w:rPr>
        <w:t xml:space="preserve">Assistant Marketing Manager  ·  Content Strategy  ·  AI-Integrated Operations</w:t>
      </w:r>
    </w:p>
    <w:p>
      <w:pPr>
        <w:spacing w:after="6" w:before="0"/>
        <w:jc w:val="center"/>
      </w:pPr>
      <w:r>
        <w:rPr>
          <w:rFonts w:ascii="Calibri" w:cs="Calibri" w:eastAsia="Calibri" w:hAnsi="Calibri"/>
          <w:color w:val="4A5568"/>
          <w:sz w:val="18"/>
          <w:szCs w:val="18"/>
        </w:rPr>
        <w:t xml:space="preserve">093-184-0662  ·  090-973-0775  ·  suanranger129@gmail.com  ·  Bangkok</w:t>
      </w:r>
    </w:p>
    <w:p>
      <w:pPr>
        <w:spacing w:after="4" w:before="0"/>
        <w:jc w:val="center"/>
      </w:pPr>
      <w:r>
        <w:rPr>
          <w:rFonts w:ascii="Calibri" w:cs="Calibri" w:eastAsia="Calibri" w:hAnsi="Calibri"/>
          <w:color w:val="1A56DB"/>
          <w:sz w:val="18"/>
          <w:szCs w:val="18"/>
          <w:u w:val="single"/>
        </w:rPr>
        <w:t xml:space="preserve">resume-ecru-five-15.vercel.app</w:t>
      </w:r>
    </w:p>
    <w:p>
      <w:pPr>
        <w:spacing w:after="0" w:before="0"/>
        <w:jc w:val="center"/>
      </w:pPr>
      <w:r>
        <w:rPr>
          <w:rFonts w:ascii="Calibri" w:cs="Calibri" w:eastAsia="Calibri" w:hAnsi="Calibri"/>
          <w:color w:val="4A5568"/>
          <w:sz w:val="18"/>
          <w:szCs w:val="18"/>
        </w:rPr>
        <w:t xml:space="preserve">github.com/Freshair129</w:t>
      </w:r>
    </w:p>
    <w:p>
      <w:pPr>
        <w:pBdr>
          <w:bottom w:val="single" w:color="B8933A" w:sz="8" w:space="2"/>
        </w:pBdr>
        <w:spacing w:after="80" w:before="60"/>
      </w:pPr>
    </w:p>
    <w:p>
      <w:pPr>
        <w:spacing w:after="40" w:before="260"/>
      </w:pPr>
      <w:r>
        <w:rPr>
          <w:rFonts w:ascii="Calibri" w:cs="Calibri" w:eastAsia="Calibri" w:hAnsi="Calibri"/>
          <w:b/>
          <w:bCs/>
          <w:color w:val="1A2B4A"/>
          <w:spacing w:val="80"/>
          <w:sz w:val="22"/>
          <w:szCs w:val="22"/>
        </w:rPr>
        <w:t xml:space="preserve">PROFESSIONAL SUMMARY</w:t>
      </w:r>
    </w:p>
    <w:p>
      <w:pPr>
        <w:pBdr>
          <w:bottom w:val="single" w:color="B8933A" w:sz="8" w:space="2"/>
        </w:pBdr>
        <w:spacing w:after="60" w:before="0"/>
      </w:pPr>
    </w:p>
    <w:p>
      <w:pPr>
        <w:spacing w:after="160" w:before="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A marketer who builds — and that's a rare combination. With 6+ years across content strategy, Meta ad pipelines, and team operations, I've also shipped full-stack CRM systems and multi-LLM agentic workflows entirely solo. Most developers don't understand the marketing funnel. Most marketers can't build the systems to run it. I bridge both ends — and that's the edge.</w:t>
      </w:r>
    </w:p>
    <w:p>
      <w:pPr>
        <w:spacing w:after="40" w:before="260"/>
      </w:pPr>
      <w:r>
        <w:rPr>
          <w:rFonts w:ascii="Calibri" w:cs="Calibri" w:eastAsia="Calibri" w:hAnsi="Calibri"/>
          <w:b/>
          <w:bCs/>
          <w:color w:val="1A2B4A"/>
          <w:spacing w:val="80"/>
          <w:sz w:val="22"/>
          <w:szCs w:val="22"/>
        </w:rPr>
        <w:t xml:space="preserve">CORE COMPETENCIES</w:t>
      </w:r>
    </w:p>
    <w:p>
      <w:pPr>
        <w:pBdr>
          <w:bottom w:val="single" w:color="B8933A" w:sz="8" w:space="2"/>
        </w:pBdr>
        <w:spacing w:after="60" w:before="0"/>
      </w:pP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0"/>
        <w:gridCol w:w="1780"/>
        <w:gridCol w:w="1780"/>
        <w:gridCol w:w="1780"/>
        <w:gridCol w:w="1780"/>
      </w:tblGrid>
      <w:tr>
        <w:tc>
          <w:tcPr>
            <w:tcW w:type="dxa" w:w="1780"/>
            <w:tcBorders>
              <w:top w:val="single" w:color="D4C5A0" w:sz="4"/>
              <w:left w:val="single" w:color="D4C5A0" w:sz="4"/>
              <w:bottom w:val="single" w:color="D4C5A0" w:sz="4"/>
              <w:right w:val="single" w:color="D4C5A0" w:sz="4"/>
            </w:tcBorders>
            <w:shd w:fill="F0F4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B4A"/>
                <w:sz w:val="18"/>
                <w:szCs w:val="18"/>
              </w:rPr>
              <w:t xml:space="preserve">Content Strategy</w:t>
            </w:r>
          </w:p>
        </w:tc>
        <w:tc>
          <w:tcPr>
            <w:tcW w:type="dxa" w:w="1780"/>
            <w:tcBorders>
              <w:top w:val="single" w:color="D4C5A0" w:sz="4"/>
              <w:left w:val="single" w:color="D4C5A0" w:sz="4"/>
              <w:bottom w:val="single" w:color="D4C5A0" w:sz="4"/>
              <w:right w:val="single" w:color="D4C5A0" w:sz="4"/>
            </w:tcBorders>
            <w:shd w:fill="F0F4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B4A"/>
                <w:sz w:val="18"/>
                <w:szCs w:val="18"/>
              </w:rPr>
              <w:t xml:space="preserve">Social Media Ads</w:t>
            </w:r>
          </w:p>
        </w:tc>
        <w:tc>
          <w:tcPr>
            <w:tcW w:type="dxa" w:w="1780"/>
            <w:tcBorders>
              <w:top w:val="single" w:color="D4C5A0" w:sz="4"/>
              <w:left w:val="single" w:color="D4C5A0" w:sz="4"/>
              <w:bottom w:val="single" w:color="D4C5A0" w:sz="4"/>
              <w:right w:val="single" w:color="D4C5A0" w:sz="4"/>
            </w:tcBorders>
            <w:shd w:fill="F0F4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B4A"/>
                <w:sz w:val="18"/>
                <w:szCs w:val="18"/>
              </w:rPr>
              <w:t xml:space="preserve">Campaign Analytics</w:t>
            </w:r>
          </w:p>
        </w:tc>
        <w:tc>
          <w:tcPr>
            <w:tcW w:type="dxa" w:w="1780"/>
            <w:tcBorders>
              <w:top w:val="single" w:color="D4C5A0" w:sz="4"/>
              <w:left w:val="single" w:color="D4C5A0" w:sz="4"/>
              <w:bottom w:val="single" w:color="D4C5A0" w:sz="4"/>
              <w:right w:val="single" w:color="D4C5A0" w:sz="4"/>
            </w:tcBorders>
            <w:shd w:fill="F0F4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B4A"/>
                <w:sz w:val="18"/>
                <w:szCs w:val="18"/>
              </w:rPr>
              <w:t xml:space="preserve">Brand Storytelling</w:t>
            </w:r>
          </w:p>
        </w:tc>
        <w:tc>
          <w:tcPr>
            <w:tcW w:type="dxa" w:w="1780"/>
            <w:tcBorders>
              <w:top w:val="single" w:color="D4C5A0" w:sz="4"/>
              <w:left w:val="single" w:color="D4C5A0" w:sz="4"/>
              <w:bottom w:val="single" w:color="D4C5A0" w:sz="4"/>
              <w:right w:val="single" w:color="D4C5A0" w:sz="4"/>
            </w:tcBorders>
            <w:shd w:fill="F0F4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B4A"/>
                <w:sz w:val="18"/>
                <w:szCs w:val="18"/>
              </w:rPr>
              <w:t xml:space="preserve">Copywriting</w:t>
            </w:r>
          </w:p>
        </w:tc>
      </w:tr>
      <w:tr>
        <w:tc>
          <w:tcPr>
            <w:tcW w:type="dxa" w:w="1780"/>
            <w:tcBorders>
              <w:top w:val="single" w:color="D4C5A0" w:sz="4"/>
              <w:left w:val="single" w:color="D4C5A0" w:sz="4"/>
              <w:bottom w:val="single" w:color="D4C5A0" w:sz="4"/>
              <w:right w:val="single" w:color="D4C5A0" w:sz="4"/>
            </w:tcBorders>
            <w:shd w:fill="F0F4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B4A"/>
                <w:sz w:val="18"/>
                <w:szCs w:val="18"/>
              </w:rPr>
              <w:t xml:space="preserve">Video Editing</w:t>
            </w:r>
          </w:p>
        </w:tc>
        <w:tc>
          <w:tcPr>
            <w:tcW w:type="dxa" w:w="1780"/>
            <w:tcBorders>
              <w:top w:val="single" w:color="D4C5A0" w:sz="4"/>
              <w:left w:val="single" w:color="D4C5A0" w:sz="4"/>
              <w:bottom w:val="single" w:color="D4C5A0" w:sz="4"/>
              <w:right w:val="single" w:color="D4C5A0" w:sz="4"/>
            </w:tcBorders>
            <w:shd w:fill="F0F4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B4A"/>
                <w:sz w:val="18"/>
                <w:szCs w:val="18"/>
              </w:rPr>
              <w:t xml:space="preserve">Motion Graphics</w:t>
            </w:r>
          </w:p>
        </w:tc>
        <w:tc>
          <w:tcPr>
            <w:tcW w:type="dxa" w:w="1780"/>
            <w:tcBorders>
              <w:top w:val="single" w:color="D4C5A0" w:sz="4"/>
              <w:left w:val="single" w:color="D4C5A0" w:sz="4"/>
              <w:bottom w:val="single" w:color="D4C5A0" w:sz="4"/>
              <w:right w:val="single" w:color="D4C5A0" w:sz="4"/>
            </w:tcBorders>
            <w:shd w:fill="F0F4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B4A"/>
                <w:sz w:val="18"/>
                <w:szCs w:val="18"/>
              </w:rPr>
              <w:t xml:space="preserve">Photography</w:t>
            </w:r>
          </w:p>
        </w:tc>
        <w:tc>
          <w:tcPr>
            <w:tcW w:type="dxa" w:w="1780"/>
            <w:tcBorders>
              <w:top w:val="single" w:color="D4C5A0" w:sz="4"/>
              <w:left w:val="single" w:color="D4C5A0" w:sz="4"/>
              <w:bottom w:val="single" w:color="D4C5A0" w:sz="4"/>
              <w:right w:val="single" w:color="D4C5A0" w:sz="4"/>
            </w:tcBorders>
            <w:shd w:fill="F0F4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B4A"/>
                <w:sz w:val="18"/>
                <w:szCs w:val="18"/>
              </w:rPr>
              <w:t xml:space="preserve">UX Presentation</w:t>
            </w:r>
          </w:p>
        </w:tc>
        <w:tc>
          <w:tcPr>
            <w:tcW w:type="dxa" w:w="1780"/>
            <w:tcBorders>
              <w:top w:val="single" w:color="D4C5A0" w:sz="4"/>
              <w:left w:val="single" w:color="D4C5A0" w:sz="4"/>
              <w:bottom w:val="single" w:color="D4C5A0" w:sz="4"/>
              <w:right w:val="single" w:color="D4C5A0" w:sz="4"/>
            </w:tcBorders>
            <w:shd w:fill="F0F4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B4A"/>
                <w:sz w:val="18"/>
                <w:szCs w:val="18"/>
              </w:rPr>
              <w:t xml:space="preserve">AI Agent Workflows</w:t>
            </w:r>
          </w:p>
        </w:tc>
      </w:tr>
      <w:tr>
        <w:tc>
          <w:tcPr>
            <w:tcW w:type="dxa" w:w="1780"/>
            <w:tcBorders>
              <w:top w:val="single" w:color="D4C5A0" w:sz="4"/>
              <w:left w:val="single" w:color="D4C5A0" w:sz="4"/>
              <w:bottom w:val="single" w:color="D4C5A0" w:sz="4"/>
              <w:right w:val="single" w:color="D4C5A0" w:sz="4"/>
            </w:tcBorders>
            <w:shd w:fill="F0F4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B4A"/>
                <w:sz w:val="18"/>
                <w:szCs w:val="18"/>
              </w:rPr>
              <w:t xml:space="preserve">CRM / POS Build</w:t>
            </w:r>
          </w:p>
        </w:tc>
        <w:tc>
          <w:tcPr>
            <w:tcW w:type="dxa" w:w="1780"/>
            <w:tcBorders>
              <w:top w:val="single" w:color="D4C5A0" w:sz="4"/>
              <w:left w:val="single" w:color="D4C5A0" w:sz="4"/>
              <w:bottom w:val="single" w:color="D4C5A0" w:sz="4"/>
              <w:right w:val="single" w:color="D4C5A0" w:sz="4"/>
            </w:tcBorders>
            <w:shd w:fill="F0F4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B4A"/>
                <w:sz w:val="18"/>
                <w:szCs w:val="18"/>
              </w:rPr>
              <w:t xml:space="preserve">Data Dashboard</w:t>
            </w:r>
          </w:p>
        </w:tc>
        <w:tc>
          <w:tcPr>
            <w:tcW w:type="dxa" w:w="1780"/>
            <w:tcBorders>
              <w:top w:val="single" w:color="D4C5A0" w:sz="4"/>
              <w:left w:val="single" w:color="D4C5A0" w:sz="4"/>
              <w:bottom w:val="single" w:color="D4C5A0" w:sz="4"/>
              <w:right w:val="single" w:color="D4C5A0" w:sz="4"/>
            </w:tcBorders>
            <w:shd w:fill="F0F4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B4A"/>
                <w:sz w:val="18"/>
                <w:szCs w:val="18"/>
              </w:rPr>
              <w:t xml:space="preserve">Meta Ads Pipeline</w:t>
            </w:r>
          </w:p>
        </w:tc>
        <w:tc>
          <w:tcPr>
            <w:tcW w:type="dxa" w:w="1780"/>
            <w:tcBorders>
              <w:top w:val="single" w:color="D4C5A0" w:sz="4"/>
              <w:left w:val="single" w:color="D4C5A0" w:sz="4"/>
              <w:bottom w:val="single" w:color="D4C5A0" w:sz="4"/>
              <w:right w:val="single" w:color="D4C5A0" w:sz="4"/>
            </w:tcBorders>
            <w:shd w:fill="F0F4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B4A"/>
                <w:sz w:val="18"/>
                <w:szCs w:val="18"/>
              </w:rPr>
              <w:t xml:space="preserve">Full-Stack Dev</w:t>
            </w:r>
          </w:p>
        </w:tc>
        <w:tc>
          <w:tcPr>
            <w:tcW w:type="dxa" w:w="1780"/>
            <w:tcBorders>
              <w:top w:val="single" w:color="D4C5A0" w:sz="4"/>
              <w:left w:val="single" w:color="D4C5A0" w:sz="4"/>
              <w:bottom w:val="single" w:color="D4C5A0" w:sz="4"/>
              <w:right w:val="single" w:color="D4C5A0" w:sz="4"/>
            </w:tcBorders>
            <w:shd w:fill="F0F4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B4A"/>
                <w:sz w:val="18"/>
                <w:szCs w:val="18"/>
              </w:rPr>
              <w:t xml:space="preserve">Multi-LLM AI Stack</w:t>
            </w:r>
          </w:p>
        </w:tc>
      </w:tr>
    </w:tbl>
    <w:p>
      <w:pPr>
        <w:spacing w:after="160" w:before="0"/>
      </w:pPr>
    </w:p>
    <w:p>
      <w:pPr>
        <w:spacing w:after="40" w:before="260"/>
      </w:pPr>
      <w:r>
        <w:rPr>
          <w:rFonts w:ascii="Calibri" w:cs="Calibri" w:eastAsia="Calibri" w:hAnsi="Calibri"/>
          <w:b/>
          <w:bCs/>
          <w:color w:val="1A2B4A"/>
          <w:spacing w:val="80"/>
          <w:sz w:val="22"/>
          <w:szCs w:val="22"/>
        </w:rPr>
        <w:t xml:space="preserve">AI TOOLS &amp; PLATFORMS</w:t>
      </w:r>
    </w:p>
    <w:p>
      <w:pPr>
        <w:pBdr>
          <w:bottom w:val="single" w:color="B8933A" w:sz="8" w:space="2"/>
        </w:pBdr>
        <w:spacing w:after="60" w:before="0"/>
      </w:pP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50"/>
        <w:gridCol w:w="4450"/>
      </w:tblGrid>
      <w:tr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60"/>
            </w:pPr>
            <w:r>
              <w:rPr>
                <w:rFonts w:ascii="Calibri" w:cs="Calibri" w:eastAsia="Calibri" w:hAnsi="Calibri"/>
                <w:b/>
                <w:bCs/>
                <w:color w:val="1A2B4A"/>
                <w:sz w:val="20"/>
                <w:szCs w:val="20"/>
              </w:rPr>
              <w:t xml:space="preserve">AI Models &amp; Assistants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6" w:before="36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Claude · Gemini · OpenAI · Qwen 3.0 · Manus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6" w:before="36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Ollama (Local) · NotebookLM · Flow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6" w:before="36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Prompt Engineering · Context Engineering · Agentic RAG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60"/>
            </w:pPr>
            <w:r>
              <w:rPr>
                <w:rFonts w:ascii="Calibri" w:cs="Calibri" w:eastAsia="Calibri" w:hAnsi="Calibri"/>
                <w:b/>
                <w:bCs/>
                <w:color w:val="1A2B4A"/>
                <w:sz w:val="20"/>
                <w:szCs w:val="20"/>
              </w:rPr>
              <w:t xml:space="preserve">Creative &amp; Management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6" w:before="36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Photoshop · Premiere Pro · After Effects · Illustrator · Figma · GitHub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6" w:before="36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CapCut · Canva · TikTok · Reels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6" w:before="36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Notion · Trello · Slack · Google Workspace · HubSpot · ChocoCRM</w:t>
            </w:r>
          </w:p>
        </w:tc>
      </w:tr>
    </w:tbl>
    <w:p>
      <w:pPr>
        <w:spacing w:after="160" w:before="0"/>
      </w:pPr>
    </w:p>
    <w:p>
      <w:pPr>
        <w:spacing w:after="40" w:before="260"/>
      </w:pPr>
      <w:r>
        <w:rPr>
          <w:rFonts w:ascii="Calibri" w:cs="Calibri" w:eastAsia="Calibri" w:hAnsi="Calibri"/>
          <w:b/>
          <w:bCs/>
          <w:color w:val="1A2B4A"/>
          <w:spacing w:val="80"/>
          <w:sz w:val="22"/>
          <w:szCs w:val="22"/>
        </w:rPr>
        <w:t xml:space="preserve">WORK EXPERIENCE</w:t>
      </w:r>
    </w:p>
    <w:p>
      <w:pPr>
        <w:pBdr>
          <w:bottom w:val="single" w:color="B8933A" w:sz="8" w:space="2"/>
        </w:pBdr>
        <w:spacing w:after="60" w:before="0"/>
      </w:pPr>
    </w:p>
    <w:p>
      <w:pPr>
        <w:tabs>
          <w:tab w:val="right" w:pos="9026"/>
        </w:tabs>
        <w:spacing w:after="36" w:before="160"/>
      </w:pPr>
      <w:r>
        <w:rPr>
          <w:rFonts w:ascii="Calibri" w:cs="Calibri" w:eastAsia="Calibri" w:hAnsi="Calibri"/>
          <w:b/>
          <w:bCs/>
          <w:color w:val="1A2B4A"/>
          <w:sz w:val="21"/>
          <w:szCs w:val="21"/>
        </w:rPr>
        <w:t xml:space="preserve">Freelance Presenter &amp; AI Consultant</w:t>
      </w: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	Jan–Feb 2026</w:t>
      </w:r>
    </w:p>
    <w:p>
      <w:pPr>
        <w:spacing w:after="100" w:before="0"/>
      </w:pPr>
      <w:r>
        <w:rPr>
          <w:rFonts w:ascii="Calibri" w:cs="Calibri" w:eastAsia="Calibri" w:hAnsi="Calibri"/>
          <w:i/>
          <w:iCs/>
          <w:color w:val="B8933A"/>
          <w:sz w:val="19"/>
          <w:szCs w:val="19"/>
        </w:rPr>
        <w:t xml:space="preserve">V School Food Institute (Freelance)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Delivered live product demos and cooking course presentations to prospective students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Built internal AI workflows using Claude &amp; Gemini to streamline content creation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Produced pitch decks and data dashboards for school management</w:t>
      </w:r>
    </w:p>
    <w:p>
      <w:pPr>
        <w:tabs>
          <w:tab w:val="right" w:pos="9026"/>
        </w:tabs>
        <w:spacing w:after="36" w:before="160"/>
      </w:pPr>
      <w:r>
        <w:rPr>
          <w:rFonts w:ascii="Calibri" w:cs="Calibri" w:eastAsia="Calibri" w:hAnsi="Calibri"/>
          <w:b/>
          <w:bCs/>
          <w:color w:val="1A2B4A"/>
          <w:sz w:val="21"/>
          <w:szCs w:val="21"/>
        </w:rPr>
        <w:t xml:space="preserve">Assistant Manager</w:t>
      </w: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	Jun–Dec 2025</w:t>
      </w:r>
    </w:p>
    <w:p>
      <w:pPr>
        <w:spacing w:after="100" w:before="0"/>
      </w:pPr>
      <w:r>
        <w:rPr>
          <w:rFonts w:ascii="Calibri" w:cs="Calibri" w:eastAsia="Calibri" w:hAnsi="Calibri"/>
          <w:i/>
          <w:iCs/>
          <w:color w:val="B8933A"/>
          <w:sz w:val="19"/>
          <w:szCs w:val="19"/>
        </w:rPr>
        <w:t xml:space="preserve">Hospital Feelgood Club (Bar &amp; Nightclub Venue)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Managed nightly operations including staff scheduling, floor supervision, and guest experience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Coordinated events, promotions, and social media content calendar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Handled vendor relationships, stock procurement, and venue setup</w:t>
      </w:r>
    </w:p>
    <w:p>
      <w:pPr>
        <w:tabs>
          <w:tab w:val="right" w:pos="9026"/>
        </w:tabs>
        <w:spacing w:after="36" w:before="160"/>
      </w:pPr>
      <w:r>
        <w:rPr>
          <w:rFonts w:ascii="Calibri" w:cs="Calibri" w:eastAsia="Calibri" w:hAnsi="Calibri"/>
          <w:b/>
          <w:bCs/>
          <w:color w:val="1A2B4A"/>
          <w:sz w:val="21"/>
          <w:szCs w:val="21"/>
        </w:rPr>
        <w:t xml:space="preserve">Marketing &amp; Content Creator</w:t>
      </w: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	2022–2025 · 3 yrs</w:t>
      </w:r>
    </w:p>
    <w:p>
      <w:pPr>
        <w:spacing w:after="100" w:before="0"/>
      </w:pPr>
      <w:r>
        <w:rPr>
          <w:rFonts w:ascii="Calibri" w:cs="Calibri" w:eastAsia="Calibri" w:hAnsi="Calibri"/>
          <w:i/>
          <w:iCs/>
          <w:color w:val="B8933A"/>
          <w:sz w:val="19"/>
          <w:szCs w:val="19"/>
        </w:rPr>
        <w:t xml:space="preserve">U-Turn Shop (Big Bike Specialty Store)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Planned and executed Meta ad campaigns; tracked ROAS and optimized creative assets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Produced photo/video content for Facebook, Instagram, TikTok and YouTube Shorts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Managed community engagement; grew organic reach through reels and behind-the-scenes content</w:t>
      </w:r>
    </w:p>
    <w:p>
      <w:pPr>
        <w:tabs>
          <w:tab w:val="right" w:pos="9026"/>
        </w:tabs>
        <w:spacing w:after="36" w:before="160"/>
      </w:pPr>
      <w:r>
        <w:rPr>
          <w:rFonts w:ascii="Calibri" w:cs="Calibri" w:eastAsia="Calibri" w:hAnsi="Calibri"/>
          <w:b/>
          <w:bCs/>
          <w:color w:val="1A2B4A"/>
          <w:sz w:val="21"/>
          <w:szCs w:val="21"/>
        </w:rPr>
        <w:t xml:space="preserve">Marketing &amp; Content Creator</w:t>
      </w: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	2019–2022 · 3 yrs</w:t>
      </w:r>
    </w:p>
    <w:p>
      <w:pPr>
        <w:spacing w:after="100" w:before="0"/>
      </w:pPr>
      <w:r>
        <w:rPr>
          <w:rFonts w:ascii="Calibri" w:cs="Calibri" w:eastAsia="Calibri" w:hAnsi="Calibri"/>
          <w:i/>
          <w:iCs/>
          <w:color w:val="B8933A"/>
          <w:sz w:val="19"/>
          <w:szCs w:val="19"/>
        </w:rPr>
        <w:t xml:space="preserve">Saint Thonglor Clinic (Aesthetic Surgery Clinic)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Created before/after case content, doctor Q&amp;A reels, and procedure explainer videos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Ran paid social campaigns targeting medical-aesthetic audience segments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Coordinated influencer partnerships and patient testimonial shoots</w:t>
      </w:r>
    </w:p>
    <w:p>
      <w:pPr>
        <w:spacing w:after="160" w:before="0"/>
      </w:pPr>
    </w:p>
    <w:p>
      <w:pPr>
        <w:spacing w:after="40" w:before="260"/>
      </w:pPr>
      <w:r>
        <w:rPr>
          <w:rFonts w:ascii="Calibri" w:cs="Calibri" w:eastAsia="Calibri" w:hAnsi="Calibri"/>
          <w:b/>
          <w:bCs/>
          <w:color w:val="1A2B4A"/>
          <w:spacing w:val="80"/>
          <w:sz w:val="22"/>
          <w:szCs w:val="22"/>
        </w:rPr>
        <w:t xml:space="preserve">PERSONAL PROJECTS</w:t>
      </w:r>
    </w:p>
    <w:p>
      <w:pPr>
        <w:pBdr>
          <w:bottom w:val="single" w:color="B8933A" w:sz="8" w:space="2"/>
        </w:pBdr>
        <w:spacing w:after="60" w:before="0"/>
      </w:pPr>
    </w:p>
    <w:p>
      <w:pPr>
        <w:tabs>
          <w:tab w:val="right" w:pos="9026"/>
        </w:tabs>
        <w:spacing w:after="36" w:before="120"/>
      </w:pPr>
      <w:r>
        <w:rPr>
          <w:rFonts w:ascii="Calibri" w:cs="Calibri" w:eastAsia="Calibri" w:hAnsi="Calibri"/>
          <w:b/>
          <w:bCs/>
          <w:color w:val="1A2B4A"/>
          <w:sz w:val="21"/>
          <w:szCs w:val="21"/>
        </w:rPr>
        <w:t xml:space="preserve">EVA — Embodied Virtual Agent</w:t>
      </w: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	v9.7.0  ·  Epoch: Reflex</w:t>
      </w:r>
    </w:p>
    <w:p>
      <w:pPr>
        <w:spacing w:after="40" w:before="0"/>
      </w:pPr>
      <w:r>
        <w:rPr>
          <w:rFonts w:ascii="Courier New" w:cs="Courier New" w:eastAsia="Courier New" w:hAnsi="Courier New"/>
          <w:color w:val="4A5568"/>
          <w:sz w:val="17"/>
          <w:szCs w:val="17"/>
        </w:rPr>
        <w:t xml:space="preserve">Python 3.13  ·  FastAPI  ·  Vue.js / Vite  ·  ChromaDB  ·  Agentic RAG</w:t>
      </w:r>
    </w:p>
    <w:p>
      <w:pPr>
        <w:spacing w:after="50" w:before="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Bio-inspired AI architecture implementing "Resonance Intelligence" — a single-inference LLM system with hormone simulation (PhysioCore), emotional state matrix (EVA_Matrix), and 8-8-8 episodic memory governance. Designed and built solo from scratch.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→  7-stream Agentic RAG + GraphRAG for deep context retrieval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→  Bio-Digital Gap: LLM pauses, hormone cascade fires, then resumes from same mental state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→  8 decoupled microservices: MSP, RMS, CIM, CNS, PhysioCore, IdentityManager, AgenticRAG, Orchestrator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→  WebSocket real-time chat UI with live emotional state visualization</w:t>
      </w:r>
    </w:p>
    <w:p>
      <w:pPr>
        <w:spacing w:after="80" w:before="50"/>
      </w:pPr>
      <w:r>
        <w:rPr>
          <w:rFonts w:ascii="Calibri" w:cs="Calibri" w:eastAsia="Calibri" w:hAnsi="Calibri"/>
          <w:b/>
          <w:bCs/>
          <w:color w:val="B8933A"/>
          <w:sz w:val="17"/>
          <w:szCs w:val="17"/>
        </w:rPr>
        <w:t xml:space="preserve">[Personal Project]</w:t>
      </w:r>
      <w:r>
        <w:rPr>
          <w:rFonts w:ascii="Calibri" w:cs="Calibri" w:eastAsia="Calibri" w:hAnsi="Calibri"/>
          <w:b/>
          <w:bCs/>
          <w:color w:val="B8933A"/>
          <w:sz w:val="17"/>
          <w:szCs w:val="17"/>
        </w:rPr>
        <w:t xml:space="preserve">   [AI Architecture]</w:t>
      </w:r>
      <w:r>
        <w:rPr>
          <w:rFonts w:ascii="Calibri" w:cs="Calibri" w:eastAsia="Calibri" w:hAnsi="Calibri"/>
          <w:b/>
          <w:bCs/>
          <w:color w:val="B8933A"/>
          <w:sz w:val="17"/>
          <w:szCs w:val="17"/>
        </w:rPr>
        <w:t xml:space="preserve">   [Solo Build]</w:t>
      </w:r>
    </w:p>
    <w:p>
      <w:pPr>
        <w:spacing w:after="0" w:before="80"/>
      </w:pPr>
    </w:p>
    <w:p>
      <w:pPr>
        <w:tabs>
          <w:tab w:val="right" w:pos="9026"/>
        </w:tabs>
        <w:spacing w:after="36" w:before="120"/>
      </w:pPr>
      <w:r>
        <w:rPr>
          <w:rFonts w:ascii="Calibri" w:cs="Calibri" w:eastAsia="Calibri" w:hAnsi="Calibri"/>
          <w:b/>
          <w:bCs/>
          <w:color w:val="1A2B4A"/>
          <w:sz w:val="21"/>
          <w:szCs w:val="21"/>
        </w:rPr>
        <w:t xml:space="preserve">V School CRM v2 — Cooking School Management System</w:t>
      </w: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	v1.1.0  ·  Production</w:t>
      </w:r>
    </w:p>
    <w:p>
      <w:pPr>
        <w:spacing w:after="40" w:before="0"/>
      </w:pPr>
      <w:r>
        <w:rPr>
          <w:rFonts w:ascii="Courier New" w:cs="Courier New" w:eastAsia="Courier New" w:hAnsi="Courier New"/>
          <w:color w:val="4A5568"/>
          <w:sz w:val="17"/>
          <w:szCs w:val="17"/>
        </w:rPr>
        <w:t xml:space="preserve">Next.js 14  ·  PostgreSQL  ·  Prisma  ·  Upstash / QStash  ·  Meta Graph API</w:t>
      </w:r>
    </w:p>
    <w:p>
      <w:pPr>
        <w:spacing w:after="50" w:before="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Full-stack CRM rebuilt from scratch for a Japanese cooking school — unified FB+LINE inbox, chat-first revenue attribution, FEFO stock system, POS with Slip OCR payment verification via Gemini Vision.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→  186 unit tests; Slip OCR confidence threshold 0.80 auto-creates transactions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→  FEFO lot tracking with real-time stock deduction on class completion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→  Meta Ads analytics pipeline: ROAS, campaign attribution, ad-to-revenue split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→  Zero local infra — QStash + Upstash Redis, Vercel-native deployment</w:t>
      </w:r>
    </w:p>
    <w:p>
      <w:pPr>
        <w:spacing w:after="80" w:before="50"/>
      </w:pPr>
      <w:r>
        <w:rPr>
          <w:rFonts w:ascii="Calibri" w:cs="Calibri" w:eastAsia="Calibri" w:hAnsi="Calibri"/>
          <w:b/>
          <w:bCs/>
          <w:color w:val="B8933A"/>
          <w:sz w:val="17"/>
          <w:szCs w:val="17"/>
        </w:rPr>
        <w:t xml:space="preserve">[Full-Stack]</w:t>
      </w:r>
      <w:r>
        <w:rPr>
          <w:rFonts w:ascii="Calibri" w:cs="Calibri" w:eastAsia="Calibri" w:hAnsi="Calibri"/>
          <w:b/>
          <w:bCs/>
          <w:color w:val="B8933A"/>
          <w:sz w:val="17"/>
          <w:szCs w:val="17"/>
        </w:rPr>
        <w:t xml:space="preserve">   [CRM / POS]</w:t>
      </w:r>
      <w:r>
        <w:rPr>
          <w:rFonts w:ascii="Calibri" w:cs="Calibri" w:eastAsia="Calibri" w:hAnsi="Calibri"/>
          <w:b/>
          <w:bCs/>
          <w:color w:val="B8933A"/>
          <w:sz w:val="17"/>
          <w:szCs w:val="17"/>
        </w:rPr>
        <w:t xml:space="preserve">   [Solo Build]</w:t>
      </w:r>
    </w:p>
    <w:p>
      <w:pPr>
        <w:spacing w:after="0" w:before="80"/>
      </w:pPr>
    </w:p>
    <w:p>
      <w:pPr>
        <w:tabs>
          <w:tab w:val="right" w:pos="9026"/>
        </w:tabs>
        <w:spacing w:after="36" w:before="120"/>
      </w:pPr>
      <w:r>
        <w:rPr>
          <w:rFonts w:ascii="Calibri" w:cs="Calibri" w:eastAsia="Calibri" w:hAnsi="Calibri"/>
          <w:b/>
          <w:bCs/>
          <w:color w:val="1A2B4A"/>
          <w:sz w:val="21"/>
          <w:szCs w:val="21"/>
        </w:rPr>
        <w:t xml:space="preserve">Driver's Licence Training Video</w:t>
      </w: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	Department of Land Transport (กรมการขนส่งทางบก)  ·  In Use Nationally</w:t>
      </w:r>
    </w:p>
    <w:p>
      <w:pPr>
        <w:spacing w:after="40" w:before="0"/>
      </w:pPr>
      <w:r>
        <w:rPr>
          <w:rFonts w:ascii="Courier New" w:cs="Courier New" w:eastAsia="Courier New" w:hAnsi="Courier New"/>
          <w:color w:val="4A5568"/>
          <w:sz w:val="17"/>
          <w:szCs w:val="17"/>
        </w:rPr>
        <w:t xml:space="preserve">Premiere Pro  ·  After Effects  ·  Motion Graphics</w:t>
      </w:r>
    </w:p>
    <w:p>
      <w:pPr>
        <w:spacing w:after="50" w:before="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Edited and produced the official driver's licence training video currently deployed across all DLT examination centres in Thailand. Responsible for full post-production: cut, colour, motion graphics, and audio mix.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→  Currently in active use at DLT examination centres nationwide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→  Scope: full post-production — editing, colour grade, motion graphics overlay, audio mix</w:t>
      </w:r>
    </w:p>
    <w:p>
      <w:pPr>
        <w:spacing w:after="80" w:before="50"/>
      </w:pPr>
      <w:r>
        <w:rPr>
          <w:rFonts w:ascii="Calibri" w:cs="Calibri" w:eastAsia="Calibri" w:hAnsi="Calibri"/>
          <w:b/>
          <w:bCs/>
          <w:color w:val="B8933A"/>
          <w:sz w:val="17"/>
          <w:szCs w:val="17"/>
        </w:rPr>
        <w:t xml:space="preserve">[Government / Official]</w:t>
      </w:r>
      <w:r>
        <w:rPr>
          <w:rFonts w:ascii="Calibri" w:cs="Calibri" w:eastAsia="Calibri" w:hAnsi="Calibri"/>
          <w:b/>
          <w:bCs/>
          <w:color w:val="B8933A"/>
          <w:sz w:val="17"/>
          <w:szCs w:val="17"/>
        </w:rPr>
        <w:t xml:space="preserve">   [Video Production]</w:t>
      </w:r>
      <w:r>
        <w:rPr>
          <w:rFonts w:ascii="Calibri" w:cs="Calibri" w:eastAsia="Calibri" w:hAnsi="Calibri"/>
          <w:b/>
          <w:bCs/>
          <w:color w:val="B8933A"/>
          <w:sz w:val="17"/>
          <w:szCs w:val="17"/>
        </w:rPr>
        <w:t xml:space="preserve">   [Post-Production]</w:t>
      </w:r>
    </w:p>
    <w:p>
      <w:pPr>
        <w:spacing w:after="160" w:before="0"/>
      </w:pPr>
    </w:p>
    <w:p>
      <w:pPr>
        <w:spacing w:after="40" w:before="260"/>
      </w:pPr>
      <w:r>
        <w:rPr>
          <w:rFonts w:ascii="Calibri" w:cs="Calibri" w:eastAsia="Calibri" w:hAnsi="Calibri"/>
          <w:b/>
          <w:bCs/>
          <w:color w:val="1A2B4A"/>
          <w:spacing w:val="80"/>
          <w:sz w:val="22"/>
          <w:szCs w:val="22"/>
        </w:rPr>
        <w:t xml:space="preserve">EDUCATION</w:t>
      </w:r>
    </w:p>
    <w:p>
      <w:pPr>
        <w:pBdr>
          <w:bottom w:val="single" w:color="B8933A" w:sz="8" w:space="2"/>
        </w:pBdr>
        <w:spacing w:after="60" w:before="0"/>
      </w:pPr>
    </w:p>
    <w:p>
      <w:pPr>
        <w:tabs>
          <w:tab w:val="right" w:pos="9026"/>
        </w:tabs>
        <w:spacing w:after="30" w:before="80"/>
      </w:pPr>
      <w:r>
        <w:rPr>
          <w:rFonts w:ascii="Calibri" w:cs="Calibri" w:eastAsia="Calibri" w:hAnsi="Calibri"/>
          <w:b/>
          <w:bCs/>
          <w:color w:val="1A2B4A"/>
          <w:sz w:val="21"/>
          <w:szCs w:val="21"/>
        </w:rPr>
        <w:t xml:space="preserve">Bachelor of Communication Arts — Advertising</w:t>
      </w: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	Graduated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B8933A"/>
          <w:sz w:val="19"/>
          <w:szCs w:val="19"/>
        </w:rPr>
        <w:t xml:space="preserve">Rangsit University  ·  Faculty of Communication Arts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color w:val="1A2B4A"/>
          <w:sz w:val="21"/>
          <w:szCs w:val="21"/>
        </w:rPr>
        <w:t xml:space="preserve">High School — Suankularb Wittayalai School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B8933A"/>
          <w:sz w:val="19"/>
          <w:szCs w:val="19"/>
        </w:rPr>
        <w:t xml:space="preserve">Suankularb Wittayalai School, Bangkok</w:t>
      </w:r>
    </w:p>
    <w:p>
      <w:pPr>
        <w:spacing w:after="40" w:before="260"/>
      </w:pPr>
      <w:r>
        <w:rPr>
          <w:rFonts w:ascii="Calibri" w:cs="Calibri" w:eastAsia="Calibri" w:hAnsi="Calibri"/>
          <w:b/>
          <w:bCs/>
          <w:color w:val="1A2B4A"/>
          <w:spacing w:val="80"/>
          <w:sz w:val="22"/>
          <w:szCs w:val="22"/>
        </w:rPr>
        <w:t xml:space="preserve">LANGUAGES</w:t>
      </w:r>
    </w:p>
    <w:p>
      <w:pPr>
        <w:pBdr>
          <w:bottom w:val="single" w:color="B8933A" w:sz="8" w:space="2"/>
        </w:pBdr>
        <w:spacing w:after="60" w:before="0"/>
      </w:pPr>
    </w:p>
    <w:p>
      <w:pPr>
        <w:spacing w:after="160" w:before="80"/>
      </w:pPr>
      <w:r>
        <w:rPr>
          <w:rFonts w:ascii="Calibri" w:cs="Calibri" w:eastAsia="Calibri" w:hAnsi="Calibri"/>
          <w:b/>
          <w:bCs/>
          <w:color w:val="1A2B4A"/>
          <w:sz w:val="20"/>
          <w:szCs w:val="20"/>
        </w:rPr>
        <w:t xml:space="preserve">Thai</w:t>
      </w:r>
      <w:r>
        <w:rPr>
          <w:rFonts w:ascii="Calibri" w:cs="Calibri" w:eastAsia="Calibri" w:hAnsi="Calibri"/>
          <w:color w:val="4A5568"/>
          <w:sz w:val="20"/>
          <w:szCs w:val="20"/>
        </w:rPr>
        <w:t xml:space="preserve">  Native     </w:t>
      </w:r>
      <w:r>
        <w:rPr>
          <w:rFonts w:ascii="Calibri" w:cs="Calibri" w:eastAsia="Calibri" w:hAnsi="Calibri"/>
          <w:b/>
          <w:bCs/>
          <w:color w:val="1A2B4A"/>
          <w:sz w:val="20"/>
          <w:szCs w:val="20"/>
        </w:rPr>
        <w:t xml:space="preserve">English</w:t>
      </w:r>
      <w:r>
        <w:rPr>
          <w:rFonts w:ascii="Calibri" w:cs="Calibri" w:eastAsia="Calibri" w:hAnsi="Calibri"/>
          <w:color w:val="4A5568"/>
          <w:sz w:val="20"/>
          <w:szCs w:val="20"/>
        </w:rPr>
        <w:t xml:space="preserve">  Conversational (Read / Write / Speak)</w:t>
      </w:r>
    </w:p>
    <w:p>
      <w:pPr>
        <w:pBdr>
          <w:top w:val="single" w:color="B8933A" w:sz="8" w:space="2"/>
        </w:pBdr>
        <w:spacing w:after="0" w:before="120"/>
        <w:jc w:val="center"/>
      </w:pP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"What sets me apart: I understand the full marketing pipeline — from ad creative to revenue attribution — and I can build the systems that power it. Most developers don't think like marketers. Most marketers can't ship production systems. I do both, and I'd bring that edge to OC Trading."</w:t>
      </w:r>
    </w:p>
    <w:sectPr>
      <w:pgSz w:w="11906" w:h="16838" w:orient="portrait"/>
      <w:pgMar w:top="800" w:right="900" w:bottom="8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2026-03-20T09:22:53.881Z</dcterms:created>
  <dcterms:modified xsi:type="dcterms:W3CDTF">2026-03-20T09:22:53.881Z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